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23F5D9" w14:textId="77777777" w:rsidR="00CD70F0" w:rsidRDefault="000171A9">
      <w:pPr>
        <w:tabs>
          <w:tab w:val="left" w:pos="1375"/>
        </w:tabs>
        <w:autoSpaceDE w:val="0"/>
        <w:autoSpaceDN w:val="0"/>
        <w:outlineLvl w:val="0"/>
        <w:rPr>
          <w:rFonts w:ascii="Arial" w:hAnsi="Arial" w:cs="Arial"/>
          <w:b/>
          <w:bCs/>
          <w:sz w:val="22"/>
          <w:lang w:val="en-GB"/>
        </w:rPr>
      </w:pPr>
      <w:r>
        <w:rPr>
          <w:rFonts w:ascii="Arial" w:hAnsi="Arial" w:cs="Arial"/>
          <w:b/>
          <w:bCs/>
          <w:sz w:val="22"/>
          <w:lang w:val="en-GB"/>
        </w:rPr>
        <w:t>3GPP TSG RAN WG1 Meeting #96bis                                   R1-1903879</w:t>
      </w:r>
    </w:p>
    <w:p w14:paraId="169B6C1D" w14:textId="77777777" w:rsidR="00CD70F0" w:rsidRDefault="000171A9">
      <w:pPr>
        <w:tabs>
          <w:tab w:val="left" w:pos="1701"/>
        </w:tabs>
        <w:autoSpaceDE w:val="0"/>
        <w:autoSpaceDN w:val="0"/>
        <w:outlineLvl w:val="0"/>
        <w:rPr>
          <w:rFonts w:ascii="Arial" w:hAnsi="Arial" w:cs="Arial"/>
          <w:b/>
          <w:bCs/>
          <w:sz w:val="22"/>
          <w:lang w:val="en-GB"/>
        </w:rPr>
      </w:pPr>
      <w:r>
        <w:rPr>
          <w:rFonts w:ascii="Arial" w:hAnsi="Arial" w:cs="Arial"/>
          <w:b/>
          <w:bCs/>
          <w:sz w:val="22"/>
          <w:lang w:val="en-GB"/>
        </w:rPr>
        <w:t>Xi’an, China</w:t>
      </w:r>
      <w:r>
        <w:rPr>
          <w:rFonts w:ascii="Arial" w:hAnsi="Arial" w:cs="Arial"/>
          <w:b/>
          <w:bCs/>
          <w:sz w:val="22"/>
          <w:lang w:val="en-GB"/>
        </w:rPr>
        <w:t>，</w:t>
      </w:r>
      <w:r>
        <w:rPr>
          <w:rFonts w:ascii="Arial" w:hAnsi="Arial" w:cs="Arial"/>
          <w:b/>
          <w:bCs/>
          <w:sz w:val="22"/>
          <w:lang w:val="en-GB"/>
        </w:rPr>
        <w:t>April 8</w:t>
      </w:r>
      <w:r>
        <w:rPr>
          <w:rFonts w:ascii="Arial" w:hAnsi="Arial" w:cs="Arial"/>
          <w:b/>
          <w:bCs/>
          <w:sz w:val="22"/>
          <w:vertAlign w:val="superscript"/>
          <w:lang w:val="en-GB"/>
        </w:rPr>
        <w:t>th</w:t>
      </w:r>
      <w:r>
        <w:rPr>
          <w:rFonts w:ascii="Arial" w:hAnsi="Arial" w:cs="Arial"/>
          <w:b/>
          <w:bCs/>
          <w:sz w:val="22"/>
          <w:lang w:val="en-GB"/>
        </w:rPr>
        <w:t xml:space="preserve"> – April 12</w:t>
      </w:r>
      <w:r>
        <w:rPr>
          <w:rFonts w:ascii="Arial" w:hAnsi="Arial" w:cs="Arial"/>
          <w:b/>
          <w:bCs/>
          <w:sz w:val="22"/>
          <w:vertAlign w:val="superscript"/>
          <w:lang w:val="en-GB"/>
        </w:rPr>
        <w:t>th</w:t>
      </w:r>
      <w:r>
        <w:rPr>
          <w:rFonts w:ascii="Arial" w:hAnsi="Arial" w:cs="Arial"/>
          <w:b/>
          <w:bCs/>
          <w:sz w:val="22"/>
          <w:lang w:val="en-GB"/>
        </w:rPr>
        <w:t>, 2019</w:t>
      </w:r>
    </w:p>
    <w:p w14:paraId="638F45C3" w14:textId="77777777" w:rsidR="00CD70F0" w:rsidRDefault="00CD70F0">
      <w:pPr>
        <w:tabs>
          <w:tab w:val="left" w:pos="1701"/>
        </w:tabs>
        <w:autoSpaceDE w:val="0"/>
        <w:autoSpaceDN w:val="0"/>
        <w:rPr>
          <w:rFonts w:ascii="Arial" w:hAnsi="Arial" w:cs="Arial"/>
          <w:b/>
          <w:bCs/>
          <w:sz w:val="22"/>
          <w:lang w:val="en-GB"/>
        </w:rPr>
      </w:pPr>
    </w:p>
    <w:p w14:paraId="0A7430A5" w14:textId="77777777" w:rsidR="00CD70F0" w:rsidRDefault="000171A9">
      <w:pPr>
        <w:tabs>
          <w:tab w:val="left" w:pos="1701"/>
        </w:tabs>
        <w:autoSpaceDE w:val="0"/>
        <w:autoSpaceDN w:val="0"/>
        <w:outlineLvl w:val="0"/>
        <w:rPr>
          <w:rFonts w:ascii="Arial" w:hAnsi="Arial" w:cs="Arial"/>
          <w:b/>
          <w:bCs/>
          <w:sz w:val="22"/>
          <w:lang w:val="en-GB"/>
        </w:rPr>
      </w:pPr>
      <w:r>
        <w:rPr>
          <w:rFonts w:ascii="Arial" w:hAnsi="Arial" w:cs="Arial"/>
          <w:b/>
          <w:bCs/>
          <w:sz w:val="22"/>
          <w:lang w:val="en-GB"/>
        </w:rPr>
        <w:t xml:space="preserve">Source:      </w:t>
      </w:r>
      <w:r>
        <w:rPr>
          <w:rFonts w:ascii="Arial" w:hAnsi="Arial" w:cs="Arial"/>
          <w:b/>
          <w:bCs/>
          <w:sz w:val="22"/>
          <w:lang w:val="en-GB"/>
        </w:rPr>
        <w:tab/>
        <w:t>ZTE, Sanechips</w:t>
      </w:r>
    </w:p>
    <w:p w14:paraId="267AE583" w14:textId="77777777" w:rsidR="00CD70F0" w:rsidRDefault="000171A9">
      <w:pPr>
        <w:tabs>
          <w:tab w:val="left" w:pos="1701"/>
        </w:tabs>
        <w:autoSpaceDE w:val="0"/>
        <w:autoSpaceDN w:val="0"/>
        <w:rPr>
          <w:rFonts w:ascii="Arial" w:hAnsi="Arial" w:cs="Arial"/>
          <w:b/>
          <w:bCs/>
          <w:sz w:val="22"/>
          <w:lang w:val="en-GB"/>
        </w:rPr>
      </w:pPr>
      <w:r>
        <w:rPr>
          <w:rFonts w:ascii="Arial" w:hAnsi="Arial" w:cs="Arial"/>
          <w:b/>
          <w:bCs/>
          <w:sz w:val="22"/>
          <w:lang w:val="en-GB"/>
        </w:rPr>
        <w:t xml:space="preserve">Title:         </w:t>
      </w:r>
      <w:r>
        <w:rPr>
          <w:rFonts w:ascii="Arial" w:hAnsi="Arial" w:cs="Arial"/>
          <w:b/>
          <w:bCs/>
          <w:sz w:val="22"/>
          <w:lang w:val="en-GB"/>
        </w:rPr>
        <w:tab/>
        <w:t>On 2-Step RACH Procedures</w:t>
      </w:r>
    </w:p>
    <w:p w14:paraId="53C39593" w14:textId="77777777" w:rsidR="00CD70F0" w:rsidRDefault="000171A9">
      <w:pPr>
        <w:tabs>
          <w:tab w:val="left" w:pos="1701"/>
        </w:tabs>
        <w:autoSpaceDE w:val="0"/>
        <w:autoSpaceDN w:val="0"/>
        <w:rPr>
          <w:rFonts w:ascii="Arial" w:hAnsi="Arial" w:cs="Arial"/>
          <w:b/>
          <w:bCs/>
          <w:sz w:val="22"/>
          <w:lang w:val="en-GB"/>
        </w:rPr>
      </w:pPr>
      <w:r>
        <w:rPr>
          <w:rFonts w:ascii="Arial" w:hAnsi="Arial" w:cs="Arial"/>
          <w:b/>
          <w:bCs/>
          <w:sz w:val="22"/>
          <w:lang w:val="en-GB"/>
        </w:rPr>
        <w:t>Agenda Item:</w:t>
      </w:r>
      <w:bookmarkStart w:id="0" w:name="Source"/>
      <w:bookmarkEnd w:id="0"/>
      <w:r>
        <w:rPr>
          <w:rFonts w:ascii="Arial" w:hAnsi="Arial" w:cs="Arial"/>
          <w:b/>
          <w:bCs/>
          <w:sz w:val="22"/>
          <w:lang w:val="en-GB"/>
        </w:rPr>
        <w:t xml:space="preserve">  </w:t>
      </w:r>
      <w:r>
        <w:rPr>
          <w:rFonts w:ascii="Arial" w:hAnsi="Arial" w:cs="Arial"/>
          <w:b/>
          <w:bCs/>
          <w:sz w:val="22"/>
          <w:lang w:val="en-GB"/>
        </w:rPr>
        <w:tab/>
        <w:t>7.2.1.2</w:t>
      </w:r>
    </w:p>
    <w:p w14:paraId="114E1115" w14:textId="77777777" w:rsidR="00CD70F0" w:rsidRDefault="000171A9">
      <w:pPr>
        <w:pBdr>
          <w:bottom w:val="single" w:sz="4" w:space="1" w:color="auto"/>
        </w:pBdr>
        <w:tabs>
          <w:tab w:val="left" w:pos="1701"/>
          <w:tab w:val="left" w:pos="2552"/>
        </w:tabs>
        <w:rPr>
          <w:rFonts w:ascii="Arial" w:hAnsi="Arial" w:cs="Arial"/>
          <w:b/>
          <w:sz w:val="22"/>
        </w:rPr>
      </w:pPr>
      <w:r>
        <w:rPr>
          <w:rFonts w:ascii="Arial" w:hAnsi="Arial" w:cs="Arial"/>
          <w:b/>
          <w:sz w:val="22"/>
        </w:rPr>
        <w:t>Document for:</w:t>
      </w:r>
      <w:bookmarkStart w:id="1" w:name="DocumentFor"/>
      <w:bookmarkEnd w:id="1"/>
      <w:r>
        <w:rPr>
          <w:rFonts w:ascii="Arial" w:hAnsi="Arial" w:cs="Arial"/>
          <w:b/>
          <w:sz w:val="22"/>
        </w:rPr>
        <w:t xml:space="preserve"> </w:t>
      </w:r>
      <w:r>
        <w:rPr>
          <w:rFonts w:ascii="Arial" w:hAnsi="Arial" w:cs="Arial"/>
          <w:b/>
          <w:sz w:val="22"/>
        </w:rPr>
        <w:tab/>
        <w:t>Discussion</w:t>
      </w:r>
    </w:p>
    <w:p w14:paraId="7AF1FC96" w14:textId="77777777" w:rsidR="00CD70F0" w:rsidRDefault="000171A9">
      <w:pPr>
        <w:pStyle w:val="1"/>
        <w:numPr>
          <w:ilvl w:val="0"/>
          <w:numId w:val="1"/>
        </w:numPr>
      </w:pPr>
      <w:bookmarkStart w:id="2" w:name="OLE_LINK57"/>
      <w:bookmarkStart w:id="3" w:name="OLE_LINK58"/>
      <w:r>
        <w:t>Introduction</w:t>
      </w:r>
      <w:bookmarkEnd w:id="2"/>
      <w:bookmarkEnd w:id="3"/>
    </w:p>
    <w:p w14:paraId="3073FBE8" w14:textId="77777777" w:rsidR="00CD70F0" w:rsidRDefault="000171A9">
      <w:pPr>
        <w:rPr>
          <w:sz w:val="22"/>
          <w:szCs w:val="28"/>
        </w:rPr>
      </w:pPr>
      <w:bookmarkStart w:id="4" w:name="OLE_LINK99"/>
      <w:bookmarkStart w:id="5" w:name="OLE_LINK98"/>
      <w:r>
        <w:rPr>
          <w:sz w:val="22"/>
          <w:szCs w:val="28"/>
        </w:rPr>
        <w:t>In</w:t>
      </w:r>
      <w:r>
        <w:rPr>
          <w:sz w:val="22"/>
          <w:szCs w:val="28"/>
        </w:rPr>
        <w:t xml:space="preserve"> RAN1#96 meeting, some agreements of 2-step RACH procedures have been achieved:</w:t>
      </w:r>
    </w:p>
    <w:tbl>
      <w:tblPr>
        <w:tblStyle w:val="ac"/>
        <w:tblW w:w="9016" w:type="dxa"/>
        <w:tblLayout w:type="fixed"/>
        <w:tblLook w:val="04A0" w:firstRow="1" w:lastRow="0" w:firstColumn="1" w:lastColumn="0" w:noHBand="0" w:noVBand="1"/>
      </w:tblPr>
      <w:tblGrid>
        <w:gridCol w:w="9016"/>
      </w:tblGrid>
      <w:tr w:rsidR="00CD70F0" w14:paraId="0BC68BF6" w14:textId="77777777">
        <w:tc>
          <w:tcPr>
            <w:tcW w:w="9016" w:type="dxa"/>
          </w:tcPr>
          <w:p w14:paraId="6C93BF08" w14:textId="77777777" w:rsidR="00CD70F0" w:rsidRDefault="000171A9">
            <w:pPr>
              <w:rPr>
                <w:rFonts w:cs="Times New Roman"/>
                <w:b/>
                <w:kern w:val="0"/>
                <w:sz w:val="20"/>
                <w:szCs w:val="20"/>
              </w:rPr>
            </w:pPr>
            <w:r>
              <w:rPr>
                <w:rFonts w:cs="Times New Roman"/>
                <w:kern w:val="0"/>
                <w:sz w:val="20"/>
                <w:szCs w:val="20"/>
                <w:highlight w:val="green"/>
              </w:rPr>
              <w:t>Agreements</w:t>
            </w:r>
            <w:r>
              <w:rPr>
                <w:rFonts w:cs="Times New Roman"/>
                <w:b/>
                <w:kern w:val="0"/>
                <w:sz w:val="20"/>
                <w:szCs w:val="20"/>
              </w:rPr>
              <w:t>:</w:t>
            </w:r>
          </w:p>
          <w:p w14:paraId="7B14883E" w14:textId="77777777" w:rsidR="00CD70F0" w:rsidRDefault="000171A9">
            <w:pPr>
              <w:pStyle w:val="af"/>
              <w:widowControl/>
              <w:numPr>
                <w:ilvl w:val="0"/>
                <w:numId w:val="2"/>
              </w:numPr>
              <w:autoSpaceDE w:val="0"/>
              <w:autoSpaceDN w:val="0"/>
              <w:adjustRightInd w:val="0"/>
              <w:snapToGrid w:val="0"/>
              <w:spacing w:afterLines="50" w:after="156"/>
              <w:ind w:firstLineChars="0"/>
              <w:contextualSpacing/>
              <w:rPr>
                <w:rFonts w:cs="Times New Roman"/>
                <w:kern w:val="0"/>
                <w:sz w:val="20"/>
                <w:szCs w:val="20"/>
              </w:rPr>
            </w:pPr>
            <w:r>
              <w:rPr>
                <w:rFonts w:cs="Times New Roman"/>
                <w:kern w:val="0"/>
                <w:sz w:val="20"/>
                <w:szCs w:val="20"/>
              </w:rPr>
              <w:t>For the relation of PRACH resources between 2-step and 4-step RACH, further study the following options (for possible down-selection or combination(s) of the option</w:t>
            </w:r>
            <w:r>
              <w:rPr>
                <w:rFonts w:cs="Times New Roman"/>
                <w:kern w:val="0"/>
                <w:sz w:val="20"/>
                <w:szCs w:val="20"/>
              </w:rPr>
              <w:t>s)</w:t>
            </w:r>
          </w:p>
          <w:p w14:paraId="5DBBB9EB" w14:textId="77777777" w:rsidR="00CD70F0" w:rsidRDefault="000171A9">
            <w:pPr>
              <w:pStyle w:val="af"/>
              <w:widowControl/>
              <w:numPr>
                <w:ilvl w:val="1"/>
                <w:numId w:val="2"/>
              </w:numPr>
              <w:autoSpaceDE w:val="0"/>
              <w:autoSpaceDN w:val="0"/>
              <w:adjustRightInd w:val="0"/>
              <w:snapToGrid w:val="0"/>
              <w:spacing w:afterLines="50" w:after="156"/>
              <w:ind w:firstLineChars="0"/>
              <w:contextualSpacing/>
              <w:rPr>
                <w:rFonts w:cs="Times New Roman"/>
                <w:kern w:val="0"/>
                <w:sz w:val="20"/>
                <w:szCs w:val="20"/>
              </w:rPr>
            </w:pPr>
            <w:r>
              <w:rPr>
                <w:rFonts w:cs="Times New Roman"/>
                <w:kern w:val="0"/>
                <w:sz w:val="20"/>
                <w:szCs w:val="20"/>
              </w:rPr>
              <w:t>Option 1: Separate ROs are configured for</w:t>
            </w:r>
            <w:r>
              <w:rPr>
                <w:rFonts w:cs="Times New Roman" w:hint="eastAsia"/>
                <w:kern w:val="0"/>
                <w:sz w:val="20"/>
                <w:szCs w:val="20"/>
              </w:rPr>
              <w:t xml:space="preserve"> 2</w:t>
            </w:r>
            <w:r>
              <w:rPr>
                <w:rFonts w:cs="Times New Roman"/>
                <w:kern w:val="0"/>
                <w:sz w:val="20"/>
                <w:szCs w:val="20"/>
              </w:rPr>
              <w:t>-</w:t>
            </w:r>
            <w:r>
              <w:rPr>
                <w:rFonts w:cs="Times New Roman" w:hint="eastAsia"/>
                <w:kern w:val="0"/>
                <w:sz w:val="20"/>
                <w:szCs w:val="20"/>
              </w:rPr>
              <w:t>step and 4</w:t>
            </w:r>
            <w:r>
              <w:rPr>
                <w:rFonts w:cs="Times New Roman"/>
                <w:kern w:val="0"/>
                <w:sz w:val="20"/>
                <w:szCs w:val="20"/>
              </w:rPr>
              <w:t>-</w:t>
            </w:r>
            <w:r>
              <w:rPr>
                <w:rFonts w:cs="Times New Roman" w:hint="eastAsia"/>
                <w:kern w:val="0"/>
                <w:sz w:val="20"/>
                <w:szCs w:val="20"/>
              </w:rPr>
              <w:t>step RACH</w:t>
            </w:r>
            <w:r>
              <w:rPr>
                <w:rFonts w:cs="Times New Roman"/>
                <w:kern w:val="0"/>
                <w:sz w:val="20"/>
                <w:szCs w:val="20"/>
              </w:rPr>
              <w:t xml:space="preserve"> </w:t>
            </w:r>
          </w:p>
          <w:p w14:paraId="05D84EE8" w14:textId="77777777" w:rsidR="00CD70F0" w:rsidRDefault="000171A9">
            <w:pPr>
              <w:pStyle w:val="af"/>
              <w:widowControl/>
              <w:numPr>
                <w:ilvl w:val="1"/>
                <w:numId w:val="2"/>
              </w:numPr>
              <w:autoSpaceDE w:val="0"/>
              <w:autoSpaceDN w:val="0"/>
              <w:adjustRightInd w:val="0"/>
              <w:snapToGrid w:val="0"/>
              <w:spacing w:afterLines="50" w:after="156"/>
              <w:ind w:firstLineChars="0"/>
              <w:contextualSpacing/>
              <w:rPr>
                <w:rFonts w:cs="Times New Roman"/>
                <w:kern w:val="0"/>
                <w:sz w:val="20"/>
                <w:szCs w:val="20"/>
              </w:rPr>
            </w:pPr>
            <w:r>
              <w:rPr>
                <w:rFonts w:cs="Times New Roman"/>
                <w:kern w:val="0"/>
                <w:sz w:val="20"/>
                <w:szCs w:val="20"/>
              </w:rPr>
              <w:t xml:space="preserve">Option 2: Shared RO but separate preambles for </w:t>
            </w:r>
            <w:r>
              <w:rPr>
                <w:rFonts w:cs="Times New Roman" w:hint="eastAsia"/>
                <w:kern w:val="0"/>
                <w:sz w:val="20"/>
                <w:szCs w:val="20"/>
              </w:rPr>
              <w:t>2</w:t>
            </w:r>
            <w:r>
              <w:rPr>
                <w:rFonts w:cs="Times New Roman"/>
                <w:kern w:val="0"/>
                <w:sz w:val="20"/>
                <w:szCs w:val="20"/>
              </w:rPr>
              <w:t>-</w:t>
            </w:r>
            <w:r>
              <w:rPr>
                <w:rFonts w:cs="Times New Roman" w:hint="eastAsia"/>
                <w:kern w:val="0"/>
                <w:sz w:val="20"/>
                <w:szCs w:val="20"/>
              </w:rPr>
              <w:t>step and 4</w:t>
            </w:r>
            <w:r>
              <w:rPr>
                <w:rFonts w:cs="Times New Roman"/>
                <w:kern w:val="0"/>
                <w:sz w:val="20"/>
                <w:szCs w:val="20"/>
              </w:rPr>
              <w:t>-</w:t>
            </w:r>
            <w:r>
              <w:rPr>
                <w:rFonts w:cs="Times New Roman" w:hint="eastAsia"/>
                <w:kern w:val="0"/>
                <w:sz w:val="20"/>
                <w:szCs w:val="20"/>
              </w:rPr>
              <w:t>step RACH</w:t>
            </w:r>
          </w:p>
          <w:p w14:paraId="5657C849" w14:textId="77777777" w:rsidR="00CD70F0" w:rsidRDefault="000171A9">
            <w:pPr>
              <w:pStyle w:val="af"/>
              <w:widowControl/>
              <w:numPr>
                <w:ilvl w:val="1"/>
                <w:numId w:val="2"/>
              </w:numPr>
              <w:autoSpaceDE w:val="0"/>
              <w:autoSpaceDN w:val="0"/>
              <w:adjustRightInd w:val="0"/>
              <w:snapToGrid w:val="0"/>
              <w:spacing w:beforeLines="100" w:before="312" w:after="120"/>
              <w:ind w:firstLineChars="0"/>
              <w:contextualSpacing/>
              <w:rPr>
                <w:rFonts w:cs="Times New Roman"/>
                <w:kern w:val="0"/>
                <w:sz w:val="20"/>
                <w:szCs w:val="20"/>
              </w:rPr>
            </w:pPr>
            <w:r>
              <w:rPr>
                <w:rFonts w:cs="Times New Roman"/>
                <w:kern w:val="0"/>
                <w:sz w:val="20"/>
                <w:szCs w:val="20"/>
              </w:rPr>
              <w:t xml:space="preserve">Option 3: </w:t>
            </w:r>
            <w:r>
              <w:rPr>
                <w:rFonts w:cs="Times New Roman"/>
                <w:sz w:val="20"/>
                <w:szCs w:val="20"/>
              </w:rPr>
              <w:t>Shared RO and shared preambles for 2-step and 4-step RACH</w:t>
            </w:r>
          </w:p>
          <w:p w14:paraId="00AB8698" w14:textId="77777777" w:rsidR="00CD70F0" w:rsidRDefault="000171A9">
            <w:pPr>
              <w:rPr>
                <w:rFonts w:cs="Times New Roman"/>
                <w:kern w:val="0"/>
                <w:sz w:val="20"/>
                <w:szCs w:val="20"/>
              </w:rPr>
            </w:pPr>
            <w:r>
              <w:rPr>
                <w:rFonts w:cs="Times New Roman"/>
                <w:kern w:val="0"/>
                <w:sz w:val="20"/>
                <w:szCs w:val="20"/>
                <w:highlight w:val="green"/>
              </w:rPr>
              <w:t>Agreements</w:t>
            </w:r>
            <w:r>
              <w:rPr>
                <w:rFonts w:cs="Times New Roman"/>
                <w:kern w:val="0"/>
                <w:sz w:val="20"/>
                <w:szCs w:val="20"/>
              </w:rPr>
              <w:t>:</w:t>
            </w:r>
          </w:p>
          <w:p w14:paraId="4F57222D" w14:textId="77777777" w:rsidR="00CD70F0" w:rsidRDefault="000171A9">
            <w:pPr>
              <w:pStyle w:val="af"/>
              <w:numPr>
                <w:ilvl w:val="0"/>
                <w:numId w:val="2"/>
              </w:numPr>
              <w:spacing w:beforeLines="50" w:before="156" w:afterLines="50" w:after="156"/>
              <w:ind w:firstLineChars="0"/>
              <w:contextualSpacing/>
              <w:rPr>
                <w:rFonts w:cs="Times New Roman"/>
                <w:sz w:val="20"/>
                <w:szCs w:val="20"/>
              </w:rPr>
            </w:pPr>
            <w:r>
              <w:rPr>
                <w:rFonts w:cs="Times New Roman"/>
                <w:sz w:val="20"/>
                <w:szCs w:val="20"/>
              </w:rPr>
              <w:t>The beam association rule between SSB</w:t>
            </w:r>
            <w:r>
              <w:rPr>
                <w:rFonts w:cs="Times New Roman"/>
                <w:sz w:val="20"/>
                <w:szCs w:val="20"/>
              </w:rPr>
              <w:t xml:space="preserve"> and RACH occasion of 4-step RACH is to be used for 2-step RACH</w:t>
            </w:r>
          </w:p>
          <w:p w14:paraId="5CC6F196" w14:textId="77777777" w:rsidR="00CD70F0" w:rsidRDefault="000171A9">
            <w:pPr>
              <w:pStyle w:val="af"/>
              <w:numPr>
                <w:ilvl w:val="1"/>
                <w:numId w:val="2"/>
              </w:numPr>
              <w:spacing w:beforeLines="50" w:before="156" w:afterLines="50" w:after="156"/>
              <w:ind w:firstLineChars="0"/>
              <w:contextualSpacing/>
              <w:rPr>
                <w:rFonts w:cs="Times New Roman"/>
                <w:sz w:val="20"/>
                <w:szCs w:val="20"/>
              </w:rPr>
            </w:pPr>
            <w:r>
              <w:rPr>
                <w:rFonts w:cs="Times New Roman"/>
                <w:sz w:val="20"/>
                <w:szCs w:val="20"/>
              </w:rPr>
              <w:t>FFS beam association for PUSCH</w:t>
            </w:r>
          </w:p>
          <w:p w14:paraId="572EF99B" w14:textId="77777777" w:rsidR="00CD70F0" w:rsidRDefault="000171A9">
            <w:pPr>
              <w:rPr>
                <w:rFonts w:cs="Times New Roman"/>
                <w:kern w:val="0"/>
                <w:sz w:val="20"/>
                <w:szCs w:val="20"/>
              </w:rPr>
            </w:pPr>
            <w:r>
              <w:rPr>
                <w:rFonts w:cs="Times New Roman"/>
                <w:kern w:val="0"/>
                <w:sz w:val="20"/>
                <w:szCs w:val="20"/>
                <w:highlight w:val="green"/>
              </w:rPr>
              <w:t>Agreements</w:t>
            </w:r>
            <w:r>
              <w:rPr>
                <w:rFonts w:cs="Times New Roman"/>
                <w:kern w:val="0"/>
                <w:sz w:val="20"/>
                <w:szCs w:val="20"/>
              </w:rPr>
              <w:t>:</w:t>
            </w:r>
          </w:p>
          <w:p w14:paraId="402AA1A6" w14:textId="77777777" w:rsidR="00CD70F0" w:rsidRDefault="000171A9">
            <w:pPr>
              <w:pStyle w:val="af"/>
              <w:numPr>
                <w:ilvl w:val="0"/>
                <w:numId w:val="3"/>
              </w:numPr>
              <w:ind w:firstLineChars="0"/>
              <w:contextualSpacing/>
              <w:rPr>
                <w:rFonts w:cs="Times New Roman"/>
                <w:sz w:val="20"/>
                <w:szCs w:val="20"/>
              </w:rPr>
            </w:pPr>
            <w:r>
              <w:rPr>
                <w:rFonts w:cs="Times New Roman"/>
                <w:sz w:val="20"/>
                <w:szCs w:val="20"/>
              </w:rPr>
              <w:t>At least open loop power control for PUSCH transmission in MsgA should be supported</w:t>
            </w:r>
          </w:p>
          <w:p w14:paraId="3E883E30" w14:textId="77777777" w:rsidR="00CD70F0" w:rsidRDefault="000171A9">
            <w:pPr>
              <w:pStyle w:val="af"/>
              <w:numPr>
                <w:ilvl w:val="1"/>
                <w:numId w:val="2"/>
              </w:numPr>
              <w:spacing w:beforeLines="50" w:before="156" w:afterLines="50" w:after="156"/>
              <w:ind w:firstLineChars="0"/>
              <w:contextualSpacing/>
              <w:rPr>
                <w:rFonts w:cs="Times New Roman"/>
                <w:kern w:val="0"/>
                <w:sz w:val="22"/>
                <w:szCs w:val="28"/>
              </w:rPr>
            </w:pPr>
            <w:r>
              <w:rPr>
                <w:rFonts w:cs="Times New Roman"/>
                <w:sz w:val="20"/>
                <w:szCs w:val="20"/>
              </w:rPr>
              <w:t>FFS PC for preamble vs. PC for PUSCH</w:t>
            </w:r>
          </w:p>
        </w:tc>
      </w:tr>
    </w:tbl>
    <w:p w14:paraId="5AF40BA5" w14:textId="77777777" w:rsidR="00CD70F0" w:rsidRDefault="00CD70F0">
      <w:pPr>
        <w:rPr>
          <w:sz w:val="22"/>
        </w:rPr>
      </w:pPr>
    </w:p>
    <w:p w14:paraId="5F6FAA62" w14:textId="77777777" w:rsidR="00CD70F0" w:rsidRDefault="000171A9">
      <w:pPr>
        <w:rPr>
          <w:sz w:val="22"/>
        </w:rPr>
      </w:pPr>
      <w:r>
        <w:rPr>
          <w:sz w:val="22"/>
        </w:rPr>
        <w:t xml:space="preserve">In this contribution, </w:t>
      </w:r>
      <w:bookmarkEnd w:id="4"/>
      <w:bookmarkEnd w:id="5"/>
      <w:r>
        <w:rPr>
          <w:sz w:val="22"/>
        </w:rPr>
        <w:t>we c</w:t>
      </w:r>
      <w:r>
        <w:rPr>
          <w:sz w:val="22"/>
        </w:rPr>
        <w:t>ontinue to discuss the related topics of 2-step RACH procedure. The main topics of 2-step RACH procedure consists of the procedure of msgA content, msgB content, power control, fall back mechanism, and other related procedure issues.</w:t>
      </w:r>
    </w:p>
    <w:p w14:paraId="59E84B97" w14:textId="77777777" w:rsidR="00CD70F0" w:rsidRDefault="000171A9">
      <w:pPr>
        <w:pStyle w:val="1"/>
        <w:numPr>
          <w:ilvl w:val="0"/>
          <w:numId w:val="1"/>
        </w:numPr>
        <w:rPr>
          <w:lang w:val="en-GB"/>
        </w:rPr>
      </w:pPr>
      <w:r>
        <w:t>MsgA</w:t>
      </w:r>
    </w:p>
    <w:p w14:paraId="3FA8BF77" w14:textId="77777777" w:rsidR="00CD70F0" w:rsidRDefault="000171A9">
      <w:pPr>
        <w:pStyle w:val="2"/>
        <w:numPr>
          <w:ilvl w:val="1"/>
          <w:numId w:val="1"/>
        </w:numPr>
      </w:pPr>
      <w:r>
        <w:t>MsgA content</w:t>
      </w:r>
    </w:p>
    <w:p w14:paraId="47C60961" w14:textId="77777777" w:rsidR="00CD70F0" w:rsidRDefault="000171A9">
      <w:pPr>
        <w:rPr>
          <w:sz w:val="22"/>
        </w:rPr>
      </w:pPr>
      <w:r>
        <w:rPr>
          <w:rFonts w:hint="eastAsia"/>
          <w:sz w:val="22"/>
        </w:rPr>
        <w:t>Msg</w:t>
      </w:r>
      <w:r>
        <w:rPr>
          <w:sz w:val="22"/>
        </w:rPr>
        <w:t>A</w:t>
      </w:r>
      <w:r>
        <w:rPr>
          <w:bCs/>
          <w:sz w:val="22"/>
        </w:rPr>
        <w:t xml:space="preserve"> comprises the preamble and payload carried in PUSCH</w:t>
      </w:r>
      <w:r>
        <w:rPr>
          <w:rFonts w:hint="eastAsia"/>
          <w:sz w:val="22"/>
        </w:rPr>
        <w:t>.</w:t>
      </w:r>
      <w:r>
        <w:t xml:space="preserve"> </w:t>
      </w:r>
      <w:r>
        <w:rPr>
          <w:sz w:val="22"/>
        </w:rPr>
        <w:t>UE select one paired RACH occasion and payload occasion for the transmission of msgA.</w:t>
      </w:r>
    </w:p>
    <w:p w14:paraId="13629D37" w14:textId="77777777" w:rsidR="00CD70F0" w:rsidRDefault="000171A9">
      <w:pPr>
        <w:rPr>
          <w:sz w:val="22"/>
        </w:rPr>
      </w:pPr>
      <w:r>
        <w:rPr>
          <w:sz w:val="22"/>
        </w:rPr>
        <w:t xml:space="preserve">For IDLE and INACTIVE states, the msgA should carry the CCCH payload. There are two CCCH sizes currently allowed in </w:t>
      </w:r>
      <w:r>
        <w:rPr>
          <w:sz w:val="22"/>
        </w:rPr>
        <w:t>Rel-15 (72 bit and 56 bit).</w:t>
      </w:r>
    </w:p>
    <w:p w14:paraId="49360BB1" w14:textId="77777777" w:rsidR="00CD70F0" w:rsidRDefault="000171A9">
      <w:pPr>
        <w:rPr>
          <w:sz w:val="22"/>
        </w:rPr>
      </w:pPr>
      <w:r>
        <w:rPr>
          <w:sz w:val="22"/>
        </w:rPr>
        <w:t xml:space="preserve">Given that msgA needs to carry the CCCH payload, it is clear that the msgA payload size should at least be 56 bits. </w:t>
      </w:r>
    </w:p>
    <w:p w14:paraId="396B4E6E" w14:textId="77777777" w:rsidR="00CD70F0" w:rsidRDefault="000171A9">
      <w:pPr>
        <w:rPr>
          <w:sz w:val="22"/>
        </w:rPr>
      </w:pPr>
      <w:r>
        <w:rPr>
          <w:sz w:val="22"/>
        </w:rPr>
        <w:t xml:space="preserve">2-step RACH is also applicable to the RRC_CONNECTED state. In case of CONNECTED state, data </w:t>
      </w:r>
      <w:r>
        <w:rPr>
          <w:sz w:val="22"/>
        </w:rPr>
        <w:lastRenderedPageBreak/>
        <w:t>from any of the rad</w:t>
      </w:r>
      <w:r>
        <w:rPr>
          <w:sz w:val="22"/>
        </w:rPr>
        <w:t xml:space="preserve">io bearers can be included in the payload. Given this, there is no practical upper limit on the payload size of msgA in case of CONNECTED state, i.e. the larger payload size up to 1000bits in RRC_CONNECTED state. </w:t>
      </w:r>
    </w:p>
    <w:p w14:paraId="64ACB696" w14:textId="77777777" w:rsidR="00CD70F0" w:rsidRDefault="000171A9">
      <w:pPr>
        <w:rPr>
          <w:sz w:val="22"/>
        </w:rPr>
      </w:pPr>
      <w:r>
        <w:rPr>
          <w:sz w:val="22"/>
        </w:rPr>
        <w:t>We can reuse the CCCH size as the starting</w:t>
      </w:r>
      <w:r>
        <w:rPr>
          <w:sz w:val="22"/>
        </w:rPr>
        <w:t xml:space="preserve"> point of payload size and wait for more input from RAN2.</w:t>
      </w:r>
    </w:p>
    <w:p w14:paraId="50E59685" w14:textId="77777777" w:rsidR="00CD70F0" w:rsidRDefault="00CD70F0">
      <w:pPr>
        <w:rPr>
          <w:sz w:val="22"/>
        </w:rPr>
      </w:pPr>
    </w:p>
    <w:p w14:paraId="12CC5A17" w14:textId="77777777" w:rsidR="00CD70F0" w:rsidRDefault="000171A9">
      <w:pPr>
        <w:rPr>
          <w:sz w:val="22"/>
        </w:rPr>
      </w:pPr>
      <w:r>
        <w:rPr>
          <w:b/>
          <w:i/>
          <w:sz w:val="22"/>
        </w:rPr>
        <w:t>Proposal 1: The content of msgA at least including the unique ID for contention resolution.</w:t>
      </w:r>
    </w:p>
    <w:p w14:paraId="44A8DBCD" w14:textId="77777777" w:rsidR="00CD70F0" w:rsidRDefault="000171A9">
      <w:pPr>
        <w:pStyle w:val="af"/>
        <w:widowControl/>
        <w:numPr>
          <w:ilvl w:val="0"/>
          <w:numId w:val="4"/>
        </w:numPr>
        <w:adjustRightInd w:val="0"/>
        <w:spacing w:line="300" w:lineRule="auto"/>
        <w:ind w:firstLineChars="0"/>
        <w:jc w:val="left"/>
        <w:rPr>
          <w:b/>
          <w:i/>
          <w:sz w:val="22"/>
        </w:rPr>
      </w:pPr>
      <w:r>
        <w:rPr>
          <w:b/>
          <w:i/>
          <w:sz w:val="22"/>
        </w:rPr>
        <w:t>RAN2 input will be needed for exact content of msgA and especially the corresponding size of each require</w:t>
      </w:r>
      <w:r>
        <w:rPr>
          <w:b/>
          <w:i/>
          <w:sz w:val="22"/>
        </w:rPr>
        <w:t>d field.</w:t>
      </w:r>
    </w:p>
    <w:p w14:paraId="1D053133" w14:textId="77777777" w:rsidR="00CD70F0" w:rsidRDefault="000171A9">
      <w:pPr>
        <w:rPr>
          <w:b/>
          <w:i/>
          <w:sz w:val="22"/>
        </w:rPr>
      </w:pPr>
      <w:r>
        <w:rPr>
          <w:b/>
          <w:i/>
          <w:sz w:val="22"/>
        </w:rPr>
        <w:t>Proposal 2: Payload size, i.e. 56/72 bits with MAC header is taken as starting point for the msgA design.</w:t>
      </w:r>
    </w:p>
    <w:p w14:paraId="6B3D3051" w14:textId="77777777" w:rsidR="00CD70F0" w:rsidRDefault="000171A9">
      <w:pPr>
        <w:pStyle w:val="af"/>
        <w:widowControl/>
        <w:numPr>
          <w:ilvl w:val="0"/>
          <w:numId w:val="4"/>
        </w:numPr>
        <w:adjustRightInd w:val="0"/>
        <w:spacing w:line="300" w:lineRule="auto"/>
        <w:ind w:firstLineChars="0"/>
        <w:jc w:val="left"/>
        <w:rPr>
          <w:b/>
          <w:i/>
          <w:sz w:val="22"/>
        </w:rPr>
      </w:pPr>
      <w:r>
        <w:rPr>
          <w:b/>
          <w:i/>
          <w:sz w:val="22"/>
        </w:rPr>
        <w:t>For RRC connected state, small packet UP data transmission can be considered.</w:t>
      </w:r>
    </w:p>
    <w:p w14:paraId="25737582" w14:textId="77777777" w:rsidR="00CD70F0" w:rsidRDefault="000171A9">
      <w:pPr>
        <w:pStyle w:val="2"/>
        <w:numPr>
          <w:ilvl w:val="1"/>
          <w:numId w:val="1"/>
        </w:numPr>
      </w:pPr>
      <w:r>
        <w:t>gNB d</w:t>
      </w:r>
      <w:r>
        <w:rPr>
          <w:rFonts w:hint="eastAsia"/>
        </w:rPr>
        <w:t>istinguish</w:t>
      </w:r>
      <w:r>
        <w:t>ing</w:t>
      </w:r>
      <w:r>
        <w:rPr>
          <w:rFonts w:hint="eastAsia"/>
        </w:rPr>
        <w:t xml:space="preserve"> between 2 step and 4 step RACH</w:t>
      </w:r>
    </w:p>
    <w:p w14:paraId="596FCD39" w14:textId="77777777" w:rsidR="00CD70F0" w:rsidRDefault="000171A9">
      <w:pPr>
        <w:rPr>
          <w:sz w:val="22"/>
          <w:szCs w:val="28"/>
        </w:rPr>
      </w:pPr>
      <w:r>
        <w:rPr>
          <w:sz w:val="22"/>
          <w:szCs w:val="28"/>
        </w:rPr>
        <w:t xml:space="preserve">In RAN1#96 meeting, there are three options for the relation of PRACH resources between 2-step and 4-step RACH are agreed for further studied. </w:t>
      </w:r>
    </w:p>
    <w:tbl>
      <w:tblPr>
        <w:tblStyle w:val="ac"/>
        <w:tblW w:w="9016" w:type="dxa"/>
        <w:tblLayout w:type="fixed"/>
        <w:tblLook w:val="04A0" w:firstRow="1" w:lastRow="0" w:firstColumn="1" w:lastColumn="0" w:noHBand="0" w:noVBand="1"/>
      </w:tblPr>
      <w:tblGrid>
        <w:gridCol w:w="9016"/>
      </w:tblGrid>
      <w:tr w:rsidR="00CD70F0" w14:paraId="783FA408" w14:textId="77777777">
        <w:tc>
          <w:tcPr>
            <w:tcW w:w="9016" w:type="dxa"/>
          </w:tcPr>
          <w:p w14:paraId="3120EB1C" w14:textId="77777777" w:rsidR="00CD70F0" w:rsidRDefault="000171A9">
            <w:pPr>
              <w:pStyle w:val="af"/>
              <w:widowControl/>
              <w:numPr>
                <w:ilvl w:val="1"/>
                <w:numId w:val="2"/>
              </w:numPr>
              <w:autoSpaceDE w:val="0"/>
              <w:autoSpaceDN w:val="0"/>
              <w:adjustRightInd w:val="0"/>
              <w:snapToGrid w:val="0"/>
              <w:spacing w:afterLines="50" w:after="156"/>
              <w:ind w:firstLineChars="0"/>
              <w:contextualSpacing/>
              <w:rPr>
                <w:rFonts w:cs="Times New Roman"/>
                <w:kern w:val="0"/>
                <w:sz w:val="20"/>
                <w:szCs w:val="20"/>
              </w:rPr>
            </w:pPr>
            <w:r>
              <w:rPr>
                <w:rFonts w:cs="Times New Roman"/>
                <w:kern w:val="0"/>
                <w:sz w:val="20"/>
                <w:szCs w:val="20"/>
              </w:rPr>
              <w:t>Option 1: Separate ROs are configured for</w:t>
            </w:r>
            <w:r>
              <w:rPr>
                <w:rFonts w:cs="Times New Roman" w:hint="eastAsia"/>
                <w:kern w:val="0"/>
                <w:sz w:val="20"/>
                <w:szCs w:val="20"/>
              </w:rPr>
              <w:t xml:space="preserve"> 2</w:t>
            </w:r>
            <w:r>
              <w:rPr>
                <w:rFonts w:cs="Times New Roman"/>
                <w:kern w:val="0"/>
                <w:sz w:val="20"/>
                <w:szCs w:val="20"/>
              </w:rPr>
              <w:t>-</w:t>
            </w:r>
            <w:r>
              <w:rPr>
                <w:rFonts w:cs="Times New Roman" w:hint="eastAsia"/>
                <w:kern w:val="0"/>
                <w:sz w:val="20"/>
                <w:szCs w:val="20"/>
              </w:rPr>
              <w:t>step and 4</w:t>
            </w:r>
            <w:r>
              <w:rPr>
                <w:rFonts w:cs="Times New Roman"/>
                <w:kern w:val="0"/>
                <w:sz w:val="20"/>
                <w:szCs w:val="20"/>
              </w:rPr>
              <w:t>-</w:t>
            </w:r>
            <w:r>
              <w:rPr>
                <w:rFonts w:cs="Times New Roman" w:hint="eastAsia"/>
                <w:kern w:val="0"/>
                <w:sz w:val="20"/>
                <w:szCs w:val="20"/>
              </w:rPr>
              <w:t>step RACH</w:t>
            </w:r>
            <w:r>
              <w:rPr>
                <w:rFonts w:cs="Times New Roman"/>
                <w:kern w:val="0"/>
                <w:sz w:val="20"/>
                <w:szCs w:val="20"/>
              </w:rPr>
              <w:t xml:space="preserve"> </w:t>
            </w:r>
          </w:p>
          <w:p w14:paraId="56E85E1F" w14:textId="77777777" w:rsidR="00CD70F0" w:rsidRDefault="000171A9">
            <w:pPr>
              <w:pStyle w:val="af"/>
              <w:widowControl/>
              <w:numPr>
                <w:ilvl w:val="1"/>
                <w:numId w:val="2"/>
              </w:numPr>
              <w:autoSpaceDE w:val="0"/>
              <w:autoSpaceDN w:val="0"/>
              <w:adjustRightInd w:val="0"/>
              <w:snapToGrid w:val="0"/>
              <w:spacing w:afterLines="50" w:after="156"/>
              <w:ind w:firstLineChars="0"/>
              <w:contextualSpacing/>
              <w:rPr>
                <w:rFonts w:cs="Times New Roman"/>
                <w:kern w:val="0"/>
                <w:sz w:val="20"/>
                <w:szCs w:val="20"/>
              </w:rPr>
            </w:pPr>
            <w:r>
              <w:rPr>
                <w:rFonts w:cs="Times New Roman"/>
                <w:kern w:val="0"/>
                <w:sz w:val="20"/>
                <w:szCs w:val="20"/>
              </w:rPr>
              <w:t>Option 2: Shared RO but separate preambles for</w:t>
            </w:r>
            <w:r>
              <w:rPr>
                <w:rFonts w:cs="Times New Roman"/>
                <w:kern w:val="0"/>
                <w:sz w:val="20"/>
                <w:szCs w:val="20"/>
              </w:rPr>
              <w:t xml:space="preserve"> </w:t>
            </w:r>
            <w:r>
              <w:rPr>
                <w:rFonts w:cs="Times New Roman" w:hint="eastAsia"/>
                <w:kern w:val="0"/>
                <w:sz w:val="20"/>
                <w:szCs w:val="20"/>
              </w:rPr>
              <w:t>2</w:t>
            </w:r>
            <w:r>
              <w:rPr>
                <w:rFonts w:cs="Times New Roman"/>
                <w:kern w:val="0"/>
                <w:sz w:val="20"/>
                <w:szCs w:val="20"/>
              </w:rPr>
              <w:t>-</w:t>
            </w:r>
            <w:r>
              <w:rPr>
                <w:rFonts w:cs="Times New Roman" w:hint="eastAsia"/>
                <w:kern w:val="0"/>
                <w:sz w:val="20"/>
                <w:szCs w:val="20"/>
              </w:rPr>
              <w:t>step and 4</w:t>
            </w:r>
            <w:r>
              <w:rPr>
                <w:rFonts w:cs="Times New Roman"/>
                <w:kern w:val="0"/>
                <w:sz w:val="20"/>
                <w:szCs w:val="20"/>
              </w:rPr>
              <w:t>-</w:t>
            </w:r>
            <w:r>
              <w:rPr>
                <w:rFonts w:cs="Times New Roman" w:hint="eastAsia"/>
                <w:kern w:val="0"/>
                <w:sz w:val="20"/>
                <w:szCs w:val="20"/>
              </w:rPr>
              <w:t>step RACH</w:t>
            </w:r>
          </w:p>
          <w:p w14:paraId="2B6FBA02" w14:textId="77777777" w:rsidR="00CD70F0" w:rsidRDefault="000171A9">
            <w:pPr>
              <w:pStyle w:val="af"/>
              <w:widowControl/>
              <w:numPr>
                <w:ilvl w:val="1"/>
                <w:numId w:val="2"/>
              </w:numPr>
              <w:autoSpaceDE w:val="0"/>
              <w:autoSpaceDN w:val="0"/>
              <w:adjustRightInd w:val="0"/>
              <w:snapToGrid w:val="0"/>
              <w:spacing w:beforeLines="100" w:before="312" w:after="120"/>
              <w:ind w:firstLineChars="0"/>
              <w:contextualSpacing/>
              <w:rPr>
                <w:rFonts w:cs="Times New Roman"/>
                <w:kern w:val="0"/>
                <w:sz w:val="22"/>
                <w:szCs w:val="20"/>
              </w:rPr>
            </w:pPr>
            <w:r>
              <w:rPr>
                <w:rFonts w:cs="Times New Roman"/>
                <w:kern w:val="0"/>
                <w:sz w:val="20"/>
                <w:szCs w:val="20"/>
              </w:rPr>
              <w:t xml:space="preserve">Option 3: </w:t>
            </w:r>
            <w:r>
              <w:rPr>
                <w:rFonts w:cs="Times New Roman"/>
                <w:sz w:val="20"/>
                <w:szCs w:val="20"/>
              </w:rPr>
              <w:t>Shared RO and shared preambles for 2-step and 4-step RACH</w:t>
            </w:r>
          </w:p>
        </w:tc>
      </w:tr>
    </w:tbl>
    <w:p w14:paraId="3C84C7C9" w14:textId="77777777" w:rsidR="00CD70F0" w:rsidRDefault="000171A9">
      <w:pPr>
        <w:rPr>
          <w:sz w:val="22"/>
        </w:rPr>
      </w:pPr>
      <w:r>
        <w:rPr>
          <w:sz w:val="22"/>
        </w:rPr>
        <w:t xml:space="preserve">The gNB could distinguish the </w:t>
      </w:r>
      <w:r>
        <w:rPr>
          <w:rFonts w:hint="eastAsia"/>
          <w:sz w:val="22"/>
        </w:rPr>
        <w:t xml:space="preserve">RA </w:t>
      </w:r>
      <w:r>
        <w:rPr>
          <w:sz w:val="22"/>
        </w:rPr>
        <w:t xml:space="preserve">types whether </w:t>
      </w:r>
      <w:r>
        <w:rPr>
          <w:rFonts w:hint="eastAsia"/>
          <w:sz w:val="22"/>
        </w:rPr>
        <w:t>UE initiates</w:t>
      </w:r>
      <w:r>
        <w:rPr>
          <w:sz w:val="22"/>
        </w:rPr>
        <w:t xml:space="preserve"> from 2-step CBRA or 4-step CBRA based on the</w:t>
      </w:r>
      <w:r>
        <w:rPr>
          <w:sz w:val="22"/>
          <w:szCs w:val="28"/>
        </w:rPr>
        <w:t xml:space="preserve"> relation of PRACH resources between 2-step and 4-step RACH</w:t>
      </w:r>
      <w:r>
        <w:rPr>
          <w:sz w:val="22"/>
        </w:rPr>
        <w:t xml:space="preserve">. </w:t>
      </w:r>
    </w:p>
    <w:p w14:paraId="4CF12DAE" w14:textId="62ED04B9" w:rsidR="00CD70F0" w:rsidRDefault="000171A9">
      <w:pPr>
        <w:rPr>
          <w:sz w:val="22"/>
        </w:rPr>
      </w:pPr>
      <w:r>
        <w:rPr>
          <w:sz w:val="22"/>
        </w:rPr>
        <w:t>For option3, gNB will always try to decode the payload in each PUSCH occasion and</w:t>
      </w:r>
      <w:r>
        <w:rPr>
          <w:sz w:val="28"/>
        </w:rPr>
        <w:t xml:space="preserve"> </w:t>
      </w:r>
      <w:r>
        <w:rPr>
          <w:rFonts w:hint="eastAsia"/>
          <w:sz w:val="22"/>
        </w:rPr>
        <w:t>the RAR window will be</w:t>
      </w:r>
      <w:r>
        <w:rPr>
          <w:sz w:val="22"/>
        </w:rPr>
        <w:t xml:space="preserve"> significantly</w:t>
      </w:r>
      <w:r>
        <w:rPr>
          <w:rFonts w:hint="eastAsia"/>
          <w:sz w:val="22"/>
        </w:rPr>
        <w:t xml:space="preserve"> impacted</w:t>
      </w:r>
      <w:r>
        <w:rPr>
          <w:sz w:val="22"/>
        </w:rPr>
        <w:t xml:space="preserve"> when the preamble is successfully </w:t>
      </w:r>
      <w:r>
        <w:rPr>
          <w:rFonts w:hint="eastAsia"/>
          <w:sz w:val="22"/>
        </w:rPr>
        <w:t>detected</w:t>
      </w:r>
      <w:r>
        <w:rPr>
          <w:sz w:val="22"/>
        </w:rPr>
        <w:t xml:space="preserve">, which is not reasonable in terms of latency and energy efficiency. </w:t>
      </w:r>
    </w:p>
    <w:p w14:paraId="5B7246DF" w14:textId="77777777" w:rsidR="00CD70F0" w:rsidRDefault="000171A9">
      <w:pPr>
        <w:rPr>
          <w:sz w:val="22"/>
          <w:szCs w:val="28"/>
        </w:rPr>
      </w:pPr>
      <w:r>
        <w:rPr>
          <w:sz w:val="22"/>
        </w:rPr>
        <w:t xml:space="preserve">For </w:t>
      </w:r>
      <w:r>
        <w:rPr>
          <w:sz w:val="22"/>
        </w:rPr>
        <w:t xml:space="preserve">option2, gNB could distinguish the </w:t>
      </w:r>
      <w:r>
        <w:rPr>
          <w:rFonts w:hint="eastAsia"/>
          <w:sz w:val="22"/>
        </w:rPr>
        <w:t xml:space="preserve">RA </w:t>
      </w:r>
      <w:r>
        <w:rPr>
          <w:sz w:val="22"/>
        </w:rPr>
        <w:t>types by the different preamble indices. For example, one group of preamble indices is for 2-step CBRA and the other group of preamble indices is for 4-step CBRA.</w:t>
      </w:r>
      <w:r>
        <w:rPr>
          <w:sz w:val="22"/>
          <w:szCs w:val="28"/>
        </w:rPr>
        <w:t xml:space="preserve"> In Rel-15 specification, the parameter </w:t>
      </w:r>
      <w:r>
        <w:rPr>
          <w:i/>
          <w:sz w:val="22"/>
        </w:rPr>
        <w:t>totalNumberOfRA-</w:t>
      </w:r>
      <w:r>
        <w:rPr>
          <w:i/>
          <w:sz w:val="22"/>
        </w:rPr>
        <w:t>Preambles</w:t>
      </w:r>
      <w:r>
        <w:rPr>
          <w:sz w:val="22"/>
        </w:rPr>
        <w:t xml:space="preserve"> </w:t>
      </w:r>
      <w:r>
        <w:rPr>
          <w:sz w:val="22"/>
          <w:szCs w:val="28"/>
        </w:rPr>
        <w:t>confines the available preamble indices for traditional CBRA and CFRA, excluding preambles used for other purposes (e.g. for SI request), then 2-step RACH UE can’t use the [0~</w:t>
      </w:r>
      <w:r>
        <w:rPr>
          <w:i/>
          <w:sz w:val="22"/>
        </w:rPr>
        <w:t xml:space="preserve"> totalNumberOfRA-Preambles</w:t>
      </w:r>
      <w:r>
        <w:rPr>
          <w:sz w:val="22"/>
        </w:rPr>
        <w:t>-1</w:t>
      </w:r>
      <w:r>
        <w:rPr>
          <w:sz w:val="22"/>
          <w:szCs w:val="28"/>
        </w:rPr>
        <w:t>] preamble indices and the preambles used f</w:t>
      </w:r>
      <w:r>
        <w:rPr>
          <w:sz w:val="22"/>
          <w:szCs w:val="28"/>
        </w:rPr>
        <w:t>or other purposes as the possible ambiguity problems in gNB. As some preambles are separated for 2-step RACH from 64 available preambles, if the traffic arrival rate of 2-step RACH doesn’t match the number of preambles for 2-step RACH, it may lead to colli</w:t>
      </w:r>
      <w:r>
        <w:rPr>
          <w:sz w:val="22"/>
          <w:szCs w:val="28"/>
        </w:rPr>
        <w:t>sion probability difference across different preamble groups for 2-step or 4-step RACH, and may negatively impact on preamble detection rate.</w:t>
      </w:r>
    </w:p>
    <w:p w14:paraId="4A15D0F9" w14:textId="77777777" w:rsidR="00CD70F0" w:rsidRDefault="000171A9">
      <w:pPr>
        <w:rPr>
          <w:sz w:val="22"/>
          <w:szCs w:val="28"/>
        </w:rPr>
      </w:pPr>
      <w:r>
        <w:rPr>
          <w:sz w:val="22"/>
          <w:szCs w:val="28"/>
        </w:rPr>
        <w:t xml:space="preserve">For option1, </w:t>
      </w:r>
      <w:r>
        <w:rPr>
          <w:sz w:val="22"/>
        </w:rPr>
        <w:t xml:space="preserve">gNB could distinguish the </w:t>
      </w:r>
      <w:r>
        <w:rPr>
          <w:rFonts w:hint="eastAsia"/>
          <w:sz w:val="22"/>
        </w:rPr>
        <w:t xml:space="preserve">RA </w:t>
      </w:r>
      <w:r>
        <w:rPr>
          <w:sz w:val="22"/>
        </w:rPr>
        <w:t xml:space="preserve">types by the separate RO time/frequency resources. It is beneficial for </w:t>
      </w:r>
      <w:r>
        <w:rPr>
          <w:sz w:val="22"/>
        </w:rPr>
        <w:t>gNB to generate the different RA-RNTI for msgB PDCCH scrambling and easy for UE to distinguish the msgB or msg2. The cost is the increase of the RACH overhead. Option1 is more preferred.</w:t>
      </w:r>
    </w:p>
    <w:p w14:paraId="41FEB2E1" w14:textId="77777777" w:rsidR="00CD70F0" w:rsidRDefault="00CD70F0">
      <w:pPr>
        <w:rPr>
          <w:sz w:val="22"/>
          <w:szCs w:val="28"/>
        </w:rPr>
      </w:pPr>
    </w:p>
    <w:p w14:paraId="63213415" w14:textId="77777777" w:rsidR="00CD70F0" w:rsidRDefault="000171A9">
      <w:r>
        <w:rPr>
          <w:b/>
          <w:i/>
          <w:sz w:val="22"/>
          <w:szCs w:val="28"/>
        </w:rPr>
        <w:t>Proposal 3: Option 3 is not preferred. And FFS for option 1 or optio</w:t>
      </w:r>
      <w:r>
        <w:rPr>
          <w:b/>
          <w:i/>
          <w:sz w:val="22"/>
          <w:szCs w:val="28"/>
        </w:rPr>
        <w:t>n 2 down-selection or combination based on evaluation results.</w:t>
      </w:r>
    </w:p>
    <w:p w14:paraId="0BD7FB60" w14:textId="77777777" w:rsidR="00CD70F0" w:rsidRDefault="000171A9">
      <w:pPr>
        <w:pStyle w:val="1"/>
        <w:numPr>
          <w:ilvl w:val="0"/>
          <w:numId w:val="1"/>
        </w:numPr>
      </w:pPr>
      <w:r>
        <w:lastRenderedPageBreak/>
        <w:t>MsgB</w:t>
      </w:r>
    </w:p>
    <w:p w14:paraId="77D33B02" w14:textId="77777777" w:rsidR="00CD70F0" w:rsidRDefault="000171A9">
      <w:pPr>
        <w:pStyle w:val="2"/>
        <w:numPr>
          <w:ilvl w:val="1"/>
          <w:numId w:val="1"/>
        </w:numPr>
      </w:pPr>
      <w:r>
        <w:rPr>
          <w:rFonts w:hint="eastAsia"/>
        </w:rPr>
        <w:t>Msg</w:t>
      </w:r>
      <w:r>
        <w:t>B content</w:t>
      </w:r>
    </w:p>
    <w:p w14:paraId="7D8BB136" w14:textId="77777777" w:rsidR="00CD70F0" w:rsidRDefault="000171A9">
      <w:pPr>
        <w:rPr>
          <w:sz w:val="22"/>
          <w:szCs w:val="28"/>
        </w:rPr>
      </w:pPr>
      <w:r>
        <w:rPr>
          <w:sz w:val="22"/>
          <w:szCs w:val="28"/>
        </w:rPr>
        <w:t>F</w:t>
      </w:r>
      <w:r>
        <w:rPr>
          <w:rFonts w:hint="eastAsia"/>
          <w:sz w:val="22"/>
          <w:szCs w:val="28"/>
        </w:rPr>
        <w:t xml:space="preserve">rom </w:t>
      </w:r>
      <w:r>
        <w:rPr>
          <w:sz w:val="22"/>
          <w:szCs w:val="28"/>
        </w:rPr>
        <w:t>the objectives in this WID, msgB’s content</w:t>
      </w:r>
      <w:r>
        <w:rPr>
          <w:rFonts w:hint="eastAsia"/>
          <w:sz w:val="22"/>
          <w:szCs w:val="28"/>
        </w:rPr>
        <w:t xml:space="preserve"> include</w:t>
      </w:r>
      <w:r>
        <w:rPr>
          <w:sz w:val="22"/>
          <w:szCs w:val="28"/>
        </w:rPr>
        <w:t>s</w:t>
      </w:r>
      <w:r>
        <w:rPr>
          <w:rFonts w:hint="eastAsia"/>
          <w:sz w:val="22"/>
          <w:szCs w:val="28"/>
        </w:rPr>
        <w:t xml:space="preserve"> the equivalent contents of msg</w:t>
      </w:r>
      <w:r>
        <w:rPr>
          <w:sz w:val="22"/>
          <w:szCs w:val="28"/>
        </w:rPr>
        <w:t>2 and msg4</w:t>
      </w:r>
      <w:r>
        <w:rPr>
          <w:rFonts w:hint="eastAsia"/>
          <w:sz w:val="22"/>
          <w:szCs w:val="28"/>
        </w:rPr>
        <w:t xml:space="preserve"> of </w:t>
      </w:r>
      <w:r>
        <w:rPr>
          <w:sz w:val="22"/>
          <w:szCs w:val="28"/>
        </w:rPr>
        <w:t>4-step RACH</w:t>
      </w:r>
      <w:r>
        <w:rPr>
          <w:bCs/>
        </w:rPr>
        <w:t>. Then f</w:t>
      </w:r>
      <w:r>
        <w:rPr>
          <w:rFonts w:hint="eastAsia"/>
          <w:sz w:val="22"/>
          <w:szCs w:val="28"/>
        </w:rPr>
        <w:t xml:space="preserve">or the content of </w:t>
      </w:r>
      <w:r>
        <w:rPr>
          <w:sz w:val="22"/>
          <w:szCs w:val="28"/>
        </w:rPr>
        <w:t>RAR in m</w:t>
      </w:r>
      <w:r>
        <w:rPr>
          <w:rFonts w:hint="eastAsia"/>
          <w:sz w:val="22"/>
          <w:szCs w:val="28"/>
        </w:rPr>
        <w:t>sg</w:t>
      </w:r>
      <w:r>
        <w:rPr>
          <w:sz w:val="22"/>
          <w:szCs w:val="28"/>
        </w:rPr>
        <w:t>B</w:t>
      </w:r>
      <w:r>
        <w:rPr>
          <w:rFonts w:hint="eastAsia"/>
          <w:sz w:val="22"/>
          <w:szCs w:val="28"/>
        </w:rPr>
        <w:t>, the following informatio</w:t>
      </w:r>
      <w:r>
        <w:rPr>
          <w:rFonts w:hint="eastAsia"/>
          <w:sz w:val="22"/>
          <w:szCs w:val="28"/>
        </w:rPr>
        <w:t>n can be considered:</w:t>
      </w:r>
    </w:p>
    <w:p w14:paraId="731A5DA0" w14:textId="77777777" w:rsidR="00CD70F0" w:rsidRDefault="000171A9">
      <w:pPr>
        <w:numPr>
          <w:ilvl w:val="0"/>
          <w:numId w:val="5"/>
        </w:numPr>
        <w:spacing w:line="300" w:lineRule="auto"/>
        <w:rPr>
          <w:sz w:val="22"/>
          <w:szCs w:val="28"/>
        </w:rPr>
      </w:pPr>
      <w:r>
        <w:rPr>
          <w:rFonts w:hint="eastAsia"/>
          <w:sz w:val="22"/>
          <w:szCs w:val="28"/>
        </w:rPr>
        <w:t>Contention resolution ID</w:t>
      </w:r>
    </w:p>
    <w:p w14:paraId="5586AA73" w14:textId="77777777" w:rsidR="00CD70F0" w:rsidRDefault="000171A9">
      <w:pPr>
        <w:numPr>
          <w:ilvl w:val="0"/>
          <w:numId w:val="5"/>
        </w:numPr>
        <w:spacing w:line="300" w:lineRule="auto"/>
        <w:rPr>
          <w:sz w:val="22"/>
          <w:szCs w:val="28"/>
        </w:rPr>
      </w:pPr>
      <w:r>
        <w:rPr>
          <w:rFonts w:hint="eastAsia"/>
          <w:sz w:val="22"/>
          <w:szCs w:val="28"/>
        </w:rPr>
        <w:t>UL Grant: resources for the following UL transmission</w:t>
      </w:r>
    </w:p>
    <w:p w14:paraId="2A45EA33" w14:textId="77777777" w:rsidR="00CD70F0" w:rsidRDefault="000171A9">
      <w:pPr>
        <w:numPr>
          <w:ilvl w:val="0"/>
          <w:numId w:val="5"/>
        </w:numPr>
        <w:spacing w:line="300" w:lineRule="auto"/>
        <w:rPr>
          <w:sz w:val="22"/>
          <w:szCs w:val="28"/>
        </w:rPr>
      </w:pPr>
      <w:r>
        <w:rPr>
          <w:rFonts w:hint="eastAsia"/>
          <w:sz w:val="22"/>
          <w:szCs w:val="28"/>
        </w:rPr>
        <w:t>DL Grant: resources for the following DL transmission</w:t>
      </w:r>
    </w:p>
    <w:p w14:paraId="573679FF" w14:textId="77777777" w:rsidR="00CD70F0" w:rsidRDefault="000171A9">
      <w:pPr>
        <w:numPr>
          <w:ilvl w:val="0"/>
          <w:numId w:val="5"/>
        </w:numPr>
        <w:spacing w:line="300" w:lineRule="auto"/>
        <w:rPr>
          <w:sz w:val="22"/>
          <w:szCs w:val="28"/>
        </w:rPr>
      </w:pPr>
      <w:r>
        <w:rPr>
          <w:rFonts w:hint="eastAsia"/>
          <w:sz w:val="22"/>
          <w:szCs w:val="28"/>
        </w:rPr>
        <w:t>TA Command</w:t>
      </w:r>
    </w:p>
    <w:p w14:paraId="5FF312D0" w14:textId="77777777" w:rsidR="00CD70F0" w:rsidRDefault="000171A9">
      <w:pPr>
        <w:numPr>
          <w:ilvl w:val="0"/>
          <w:numId w:val="5"/>
        </w:numPr>
        <w:spacing w:line="300" w:lineRule="auto"/>
        <w:rPr>
          <w:sz w:val="22"/>
          <w:szCs w:val="28"/>
        </w:rPr>
      </w:pPr>
      <w:r>
        <w:rPr>
          <w:sz w:val="22"/>
          <w:szCs w:val="28"/>
        </w:rPr>
        <w:t>Back off</w:t>
      </w:r>
      <w:r>
        <w:rPr>
          <w:rFonts w:hint="eastAsia"/>
          <w:sz w:val="22"/>
          <w:szCs w:val="28"/>
        </w:rPr>
        <w:t xml:space="preserve"> indicator</w:t>
      </w:r>
    </w:p>
    <w:p w14:paraId="0B2593FA" w14:textId="77777777" w:rsidR="00CD70F0" w:rsidRDefault="000171A9">
      <w:pPr>
        <w:numPr>
          <w:ilvl w:val="0"/>
          <w:numId w:val="5"/>
        </w:numPr>
        <w:spacing w:line="300" w:lineRule="auto"/>
        <w:rPr>
          <w:sz w:val="22"/>
          <w:szCs w:val="28"/>
        </w:rPr>
      </w:pPr>
      <w:r>
        <w:rPr>
          <w:sz w:val="22"/>
          <w:szCs w:val="28"/>
        </w:rPr>
        <w:t xml:space="preserve">Other possible contents in the </w:t>
      </w:r>
      <w:r>
        <w:rPr>
          <w:rFonts w:hint="eastAsia"/>
          <w:sz w:val="22"/>
          <w:szCs w:val="28"/>
        </w:rPr>
        <w:t>msg</w:t>
      </w:r>
      <w:r>
        <w:rPr>
          <w:sz w:val="22"/>
          <w:szCs w:val="28"/>
        </w:rPr>
        <w:t>2 and msg4</w:t>
      </w:r>
      <w:r>
        <w:rPr>
          <w:rFonts w:hint="eastAsia"/>
          <w:sz w:val="22"/>
          <w:szCs w:val="28"/>
        </w:rPr>
        <w:t xml:space="preserve"> of </w:t>
      </w:r>
      <w:r>
        <w:rPr>
          <w:sz w:val="22"/>
          <w:szCs w:val="28"/>
        </w:rPr>
        <w:t>4-step RACH.</w:t>
      </w:r>
    </w:p>
    <w:p w14:paraId="3BAA8C34" w14:textId="77777777" w:rsidR="00CD70F0" w:rsidRDefault="000171A9">
      <w:pPr>
        <w:rPr>
          <w:sz w:val="22"/>
        </w:rPr>
      </w:pPr>
      <w:r>
        <w:rPr>
          <w:sz w:val="22"/>
        </w:rPr>
        <w:t>MsgB will b</w:t>
      </w:r>
      <w:r>
        <w:rPr>
          <w:sz w:val="22"/>
        </w:rPr>
        <w:t xml:space="preserve">e sent only if the preamble in msgA has been detected. </w:t>
      </w:r>
      <w:r>
        <w:rPr>
          <w:rFonts w:hint="eastAsia"/>
          <w:sz w:val="22"/>
        </w:rPr>
        <w:t xml:space="preserve">Depending on whether the payload </w:t>
      </w:r>
      <w:r>
        <w:rPr>
          <w:sz w:val="22"/>
        </w:rPr>
        <w:t xml:space="preserve">in </w:t>
      </w:r>
      <w:r>
        <w:rPr>
          <w:rFonts w:hint="eastAsia"/>
          <w:sz w:val="22"/>
        </w:rPr>
        <w:t xml:space="preserve">msgA is successfully decoded, the content of </w:t>
      </w:r>
      <w:r>
        <w:rPr>
          <w:sz w:val="22"/>
        </w:rPr>
        <w:t>msgB</w:t>
      </w:r>
      <w:r>
        <w:rPr>
          <w:rFonts w:hint="eastAsia"/>
          <w:sz w:val="22"/>
        </w:rPr>
        <w:t xml:space="preserve"> may be different. </w:t>
      </w:r>
    </w:p>
    <w:p w14:paraId="18D16B14" w14:textId="77777777" w:rsidR="00CD70F0" w:rsidRDefault="000171A9">
      <w:pPr>
        <w:numPr>
          <w:ilvl w:val="0"/>
          <w:numId w:val="6"/>
        </w:numPr>
        <w:spacing w:line="300" w:lineRule="auto"/>
        <w:rPr>
          <w:sz w:val="22"/>
        </w:rPr>
      </w:pPr>
      <w:r>
        <w:rPr>
          <w:rFonts w:hint="eastAsia"/>
          <w:sz w:val="22"/>
        </w:rPr>
        <w:t>For the case both the msgA</w:t>
      </w:r>
      <w:r>
        <w:rPr>
          <w:sz w:val="22"/>
        </w:rPr>
        <w:t xml:space="preserve"> </w:t>
      </w:r>
      <w:r>
        <w:rPr>
          <w:rFonts w:hint="eastAsia"/>
          <w:sz w:val="22"/>
        </w:rPr>
        <w:t>preamble</w:t>
      </w:r>
      <w:r>
        <w:rPr>
          <w:sz w:val="22"/>
        </w:rPr>
        <w:t xml:space="preserve"> and payload</w:t>
      </w:r>
      <w:r>
        <w:rPr>
          <w:rFonts w:hint="eastAsia"/>
          <w:sz w:val="22"/>
        </w:rPr>
        <w:t xml:space="preserve"> </w:t>
      </w:r>
      <w:r>
        <w:rPr>
          <w:sz w:val="22"/>
        </w:rPr>
        <w:t>are</w:t>
      </w:r>
      <w:r>
        <w:rPr>
          <w:rFonts w:hint="eastAsia"/>
          <w:sz w:val="22"/>
        </w:rPr>
        <w:t xml:space="preserve"> </w:t>
      </w:r>
      <w:r>
        <w:rPr>
          <w:sz w:val="22"/>
        </w:rPr>
        <w:t>successfully</w:t>
      </w:r>
      <w:r>
        <w:rPr>
          <w:rFonts w:hint="eastAsia"/>
          <w:sz w:val="22"/>
        </w:rPr>
        <w:t xml:space="preserve"> </w:t>
      </w:r>
      <w:r>
        <w:rPr>
          <w:sz w:val="22"/>
        </w:rPr>
        <w:t xml:space="preserve">detected and </w:t>
      </w:r>
      <w:r>
        <w:rPr>
          <w:rFonts w:hint="eastAsia"/>
          <w:sz w:val="22"/>
        </w:rPr>
        <w:t xml:space="preserve">decoded, </w:t>
      </w:r>
      <w:r>
        <w:rPr>
          <w:sz w:val="22"/>
        </w:rPr>
        <w:t>the messa</w:t>
      </w:r>
      <w:r>
        <w:rPr>
          <w:sz w:val="22"/>
        </w:rPr>
        <w:t>ge of the second step is the msgB for 2-step RACH contention resolution. T</w:t>
      </w:r>
      <w:r>
        <w:rPr>
          <w:rFonts w:hint="eastAsia"/>
          <w:sz w:val="22"/>
        </w:rPr>
        <w:t xml:space="preserve">he RAPID </w:t>
      </w:r>
      <w:r>
        <w:rPr>
          <w:sz w:val="22"/>
        </w:rPr>
        <w:t xml:space="preserve">in RAR is </w:t>
      </w:r>
      <w:r>
        <w:rPr>
          <w:rFonts w:hint="eastAsia"/>
          <w:sz w:val="22"/>
        </w:rPr>
        <w:t xml:space="preserve">redundant </w:t>
      </w:r>
      <w:r>
        <w:rPr>
          <w:sz w:val="22"/>
        </w:rPr>
        <w:t>as</w:t>
      </w:r>
      <w:r>
        <w:rPr>
          <w:rFonts w:hint="eastAsia"/>
          <w:sz w:val="22"/>
        </w:rPr>
        <w:t xml:space="preserve"> contention resolution ID </w:t>
      </w:r>
      <w:r>
        <w:rPr>
          <w:sz w:val="22"/>
        </w:rPr>
        <w:t xml:space="preserve">enclosed in the payload </w:t>
      </w:r>
      <w:r>
        <w:rPr>
          <w:rFonts w:hint="eastAsia"/>
          <w:sz w:val="22"/>
        </w:rPr>
        <w:t>can well fulfill contention resolution purpose.</w:t>
      </w:r>
      <w:r>
        <w:rPr>
          <w:sz w:val="22"/>
        </w:rPr>
        <w:t xml:space="preserve"> The UL grant is optional in this case and could be us</w:t>
      </w:r>
      <w:r>
        <w:rPr>
          <w:sz w:val="22"/>
        </w:rPr>
        <w:t xml:space="preserve">ed to schedule the possible uplink data packets right after the RACH procedure if BSR is reported in msgA. C-RNTI is also needed to be carried in the successful RA response when </w:t>
      </w:r>
      <w:r>
        <w:rPr>
          <w:rFonts w:hint="eastAsia"/>
          <w:sz w:val="22"/>
        </w:rPr>
        <w:t>contention resolution ID</w:t>
      </w:r>
      <w:r>
        <w:rPr>
          <w:sz w:val="22"/>
        </w:rPr>
        <w:t xml:space="preserve"> is not C-RNTI.</w:t>
      </w:r>
      <w:r>
        <w:rPr>
          <w:rFonts w:hint="eastAsia"/>
          <w:i/>
          <w:iCs/>
          <w:sz w:val="22"/>
          <w:szCs w:val="28"/>
        </w:rPr>
        <w:t xml:space="preserve"> </w:t>
      </w:r>
      <w:r>
        <w:rPr>
          <w:sz w:val="22"/>
        </w:rPr>
        <w:t xml:space="preserve">Considering the limited size of msgB, </w:t>
      </w:r>
      <w:r>
        <w:rPr>
          <w:sz w:val="22"/>
        </w:rPr>
        <w:t>it is not possible to include the MAC SDU from SRB/DRB from different UEs into one msgB, then the DL grant can be included in the successful RA response to support the possible subsequent DL PDSCH.</w:t>
      </w:r>
    </w:p>
    <w:p w14:paraId="35059CFB" w14:textId="77777777" w:rsidR="00CD70F0" w:rsidRDefault="000171A9">
      <w:pPr>
        <w:numPr>
          <w:ilvl w:val="0"/>
          <w:numId w:val="6"/>
        </w:numPr>
        <w:spacing w:line="300" w:lineRule="auto"/>
        <w:rPr>
          <w:sz w:val="22"/>
        </w:rPr>
      </w:pPr>
      <w:r>
        <w:rPr>
          <w:sz w:val="22"/>
        </w:rPr>
        <w:t>F</w:t>
      </w:r>
      <w:r>
        <w:rPr>
          <w:rFonts w:hint="eastAsia"/>
          <w:sz w:val="22"/>
        </w:rPr>
        <w:t xml:space="preserve">or the case </w:t>
      </w:r>
      <w:r>
        <w:rPr>
          <w:sz w:val="22"/>
        </w:rPr>
        <w:t>that</w:t>
      </w:r>
      <w:r>
        <w:rPr>
          <w:rFonts w:hint="eastAsia"/>
          <w:sz w:val="22"/>
        </w:rPr>
        <w:t xml:space="preserve"> the preamble is </w:t>
      </w:r>
      <w:r>
        <w:rPr>
          <w:sz w:val="22"/>
        </w:rPr>
        <w:t xml:space="preserve">successfully </w:t>
      </w:r>
      <w:r>
        <w:rPr>
          <w:rFonts w:hint="eastAsia"/>
          <w:sz w:val="22"/>
        </w:rPr>
        <w:t xml:space="preserve">detected </w:t>
      </w:r>
      <w:r>
        <w:rPr>
          <w:sz w:val="22"/>
        </w:rPr>
        <w:t>but</w:t>
      </w:r>
      <w:r>
        <w:rPr>
          <w:rFonts w:hint="eastAsia"/>
          <w:sz w:val="22"/>
        </w:rPr>
        <w:t xml:space="preserve"> the payload is not successfully decoded, </w:t>
      </w:r>
      <w:r>
        <w:rPr>
          <w:sz w:val="22"/>
        </w:rPr>
        <w:t>fall back to 4-step RACH could be considered. The</w:t>
      </w:r>
      <w:r>
        <w:rPr>
          <w:rFonts w:hint="eastAsia"/>
          <w:sz w:val="22"/>
        </w:rPr>
        <w:t xml:space="preserve"> </w:t>
      </w:r>
      <w:r>
        <w:rPr>
          <w:sz w:val="22"/>
        </w:rPr>
        <w:t xml:space="preserve">content of </w:t>
      </w:r>
      <w:r>
        <w:rPr>
          <w:rFonts w:hint="eastAsia"/>
          <w:sz w:val="22"/>
        </w:rPr>
        <w:t>m</w:t>
      </w:r>
      <w:r>
        <w:rPr>
          <w:sz w:val="22"/>
        </w:rPr>
        <w:t>essage of second step</w:t>
      </w:r>
      <w:r>
        <w:rPr>
          <w:rFonts w:hint="eastAsia"/>
          <w:sz w:val="22"/>
        </w:rPr>
        <w:t xml:space="preserve"> </w:t>
      </w:r>
      <w:r>
        <w:rPr>
          <w:sz w:val="22"/>
        </w:rPr>
        <w:t xml:space="preserve">is identical to the traditional msg2 RAR which </w:t>
      </w:r>
      <w:r>
        <w:rPr>
          <w:rFonts w:hint="eastAsia"/>
          <w:sz w:val="22"/>
        </w:rPr>
        <w:t>include</w:t>
      </w:r>
      <w:r>
        <w:rPr>
          <w:sz w:val="22"/>
        </w:rPr>
        <w:t>s</w:t>
      </w:r>
      <w:r>
        <w:rPr>
          <w:rFonts w:hint="eastAsia"/>
          <w:sz w:val="22"/>
        </w:rPr>
        <w:t xml:space="preserve"> the RAPID as well as a TC-RNTI. T</w:t>
      </w:r>
      <w:r>
        <w:rPr>
          <w:sz w:val="22"/>
        </w:rPr>
        <w:t>he UL Grant in fallback mode is for ms</w:t>
      </w:r>
      <w:r>
        <w:rPr>
          <w:sz w:val="22"/>
        </w:rPr>
        <w:t>g3 scheduling as legacy 4-step RACH.</w:t>
      </w:r>
    </w:p>
    <w:p w14:paraId="3364244C" w14:textId="77777777" w:rsidR="00CD70F0" w:rsidRDefault="000171A9">
      <w:pPr>
        <w:rPr>
          <w:sz w:val="22"/>
        </w:rPr>
      </w:pPr>
      <w:r>
        <w:rPr>
          <w:rFonts w:hint="eastAsia"/>
          <w:sz w:val="22"/>
        </w:rPr>
        <w:t>A</w:t>
      </w:r>
      <w:r>
        <w:rPr>
          <w:sz w:val="22"/>
        </w:rPr>
        <w:t>nyway, the content of msgB and related procedure will be discussed and determined in RAN2 group, and we can define the detail of UL grant or DL assignment depending on RAN2 discussion, if they are needed within msgB.</w:t>
      </w:r>
    </w:p>
    <w:p w14:paraId="23D14CA8" w14:textId="77777777" w:rsidR="00CD70F0" w:rsidRDefault="000171A9">
      <w:pPr>
        <w:pStyle w:val="2"/>
        <w:numPr>
          <w:ilvl w:val="1"/>
          <w:numId w:val="1"/>
        </w:numPr>
      </w:pPr>
      <w:r>
        <w:rPr>
          <w:rFonts w:hint="eastAsia"/>
        </w:rPr>
        <w:t>M</w:t>
      </w:r>
      <w:r>
        <w:rPr>
          <w:rFonts w:hint="eastAsia"/>
        </w:rPr>
        <w:t>sg</w:t>
      </w:r>
      <w:r>
        <w:t>A response window</w:t>
      </w:r>
    </w:p>
    <w:p w14:paraId="2F7682BA" w14:textId="77777777" w:rsidR="00CD70F0" w:rsidRDefault="000171A9">
      <w:pPr>
        <w:rPr>
          <w:sz w:val="22"/>
          <w:szCs w:val="22"/>
        </w:rPr>
      </w:pPr>
      <w:r>
        <w:rPr>
          <w:rFonts w:hint="eastAsia"/>
          <w:sz w:val="22"/>
          <w:szCs w:val="22"/>
        </w:rPr>
        <w:t>Once the preamble</w:t>
      </w:r>
      <w:r>
        <w:rPr>
          <w:sz w:val="22"/>
          <w:szCs w:val="22"/>
        </w:rPr>
        <w:t xml:space="preserve"> and </w:t>
      </w:r>
      <w:r>
        <w:rPr>
          <w:rFonts w:hint="eastAsia"/>
          <w:sz w:val="22"/>
          <w:szCs w:val="22"/>
        </w:rPr>
        <w:t xml:space="preserve">payload </w:t>
      </w:r>
      <w:r>
        <w:rPr>
          <w:sz w:val="22"/>
          <w:szCs w:val="22"/>
        </w:rPr>
        <w:t>are</w:t>
      </w:r>
      <w:r>
        <w:rPr>
          <w:rFonts w:hint="eastAsia"/>
          <w:sz w:val="22"/>
          <w:szCs w:val="22"/>
        </w:rPr>
        <w:t xml:space="preserve"> transmitted in </w:t>
      </w:r>
      <w:r>
        <w:rPr>
          <w:sz w:val="22"/>
          <w:szCs w:val="22"/>
        </w:rPr>
        <w:t>msgA</w:t>
      </w:r>
      <w:r>
        <w:rPr>
          <w:rFonts w:hint="eastAsia"/>
          <w:sz w:val="22"/>
          <w:szCs w:val="22"/>
        </w:rPr>
        <w:t xml:space="preserve">, the UE should </w:t>
      </w:r>
      <w:r>
        <w:rPr>
          <w:sz w:val="22"/>
          <w:szCs w:val="22"/>
        </w:rPr>
        <w:t>monitor</w:t>
      </w:r>
      <w:r>
        <w:rPr>
          <w:rFonts w:hint="eastAsia"/>
          <w:sz w:val="22"/>
          <w:szCs w:val="22"/>
        </w:rPr>
        <w:t xml:space="preserve"> </w:t>
      </w:r>
      <w:r>
        <w:rPr>
          <w:sz w:val="22"/>
          <w:szCs w:val="22"/>
        </w:rPr>
        <w:t>the PDCCH of</w:t>
      </w:r>
      <w:r>
        <w:rPr>
          <w:rFonts w:hint="eastAsia"/>
          <w:sz w:val="22"/>
          <w:szCs w:val="22"/>
        </w:rPr>
        <w:t xml:space="preserve"> </w:t>
      </w:r>
      <w:r>
        <w:rPr>
          <w:sz w:val="22"/>
          <w:szCs w:val="22"/>
        </w:rPr>
        <w:t>m</w:t>
      </w:r>
      <w:r>
        <w:rPr>
          <w:rFonts w:hint="eastAsia"/>
          <w:sz w:val="22"/>
          <w:szCs w:val="22"/>
        </w:rPr>
        <w:t>sg</w:t>
      </w:r>
      <w:r>
        <w:rPr>
          <w:sz w:val="22"/>
          <w:szCs w:val="22"/>
        </w:rPr>
        <w:t xml:space="preserve">B </w:t>
      </w:r>
      <w:r>
        <w:rPr>
          <w:rFonts w:hint="eastAsia"/>
          <w:sz w:val="22"/>
          <w:szCs w:val="22"/>
        </w:rPr>
        <w:t>sc</w:t>
      </w:r>
      <w:r>
        <w:rPr>
          <w:sz w:val="22"/>
          <w:szCs w:val="22"/>
        </w:rPr>
        <w:t>rambled</w:t>
      </w:r>
      <w:r>
        <w:rPr>
          <w:rFonts w:hint="eastAsia"/>
          <w:sz w:val="22"/>
          <w:szCs w:val="22"/>
        </w:rPr>
        <w:t xml:space="preserve"> by RA-RNTI </w:t>
      </w:r>
      <w:r>
        <w:rPr>
          <w:sz w:val="22"/>
          <w:szCs w:val="22"/>
        </w:rPr>
        <w:t>or</w:t>
      </w:r>
      <w:r>
        <w:rPr>
          <w:rFonts w:hint="eastAsia"/>
          <w:sz w:val="22"/>
          <w:szCs w:val="22"/>
        </w:rPr>
        <w:t xml:space="preserve"> C-RNTI or other</w:t>
      </w:r>
      <w:r>
        <w:rPr>
          <w:sz w:val="22"/>
          <w:szCs w:val="22"/>
        </w:rPr>
        <w:t xml:space="preserve"> possible</w:t>
      </w:r>
      <w:r>
        <w:rPr>
          <w:rFonts w:hint="eastAsia"/>
          <w:sz w:val="22"/>
          <w:szCs w:val="22"/>
        </w:rPr>
        <w:t xml:space="preserve"> </w:t>
      </w:r>
      <w:r>
        <w:rPr>
          <w:sz w:val="22"/>
          <w:szCs w:val="22"/>
        </w:rPr>
        <w:t xml:space="preserve">type of </w:t>
      </w:r>
      <w:r>
        <w:rPr>
          <w:rFonts w:hint="eastAsia"/>
          <w:sz w:val="22"/>
          <w:szCs w:val="22"/>
        </w:rPr>
        <w:t>UE ID</w:t>
      </w:r>
      <w:r>
        <w:rPr>
          <w:sz w:val="22"/>
          <w:szCs w:val="22"/>
        </w:rPr>
        <w:t xml:space="preserve"> </w:t>
      </w:r>
      <w:r>
        <w:rPr>
          <w:rFonts w:hint="eastAsia"/>
          <w:sz w:val="22"/>
          <w:szCs w:val="22"/>
        </w:rPr>
        <w:t xml:space="preserve">within the </w:t>
      </w:r>
      <w:r>
        <w:rPr>
          <w:sz w:val="22"/>
          <w:szCs w:val="22"/>
        </w:rPr>
        <w:t>m</w:t>
      </w:r>
      <w:r>
        <w:rPr>
          <w:rFonts w:hint="eastAsia"/>
          <w:sz w:val="22"/>
          <w:szCs w:val="22"/>
        </w:rPr>
        <w:t>sg</w:t>
      </w:r>
      <w:r>
        <w:rPr>
          <w:sz w:val="22"/>
          <w:szCs w:val="22"/>
        </w:rPr>
        <w:t>A r</w:t>
      </w:r>
      <w:r>
        <w:rPr>
          <w:rFonts w:hint="eastAsia"/>
          <w:sz w:val="22"/>
          <w:szCs w:val="22"/>
        </w:rPr>
        <w:t>esponse</w:t>
      </w:r>
      <w:r>
        <w:rPr>
          <w:sz w:val="22"/>
          <w:szCs w:val="22"/>
        </w:rPr>
        <w:t xml:space="preserve"> </w:t>
      </w:r>
      <w:r>
        <w:rPr>
          <w:rFonts w:hint="eastAsia"/>
          <w:sz w:val="22"/>
          <w:szCs w:val="22"/>
        </w:rPr>
        <w:t xml:space="preserve">window. </w:t>
      </w:r>
    </w:p>
    <w:p w14:paraId="7081EE29" w14:textId="77777777" w:rsidR="00CD70F0" w:rsidRDefault="000171A9">
      <w:pPr>
        <w:rPr>
          <w:sz w:val="22"/>
          <w:szCs w:val="22"/>
        </w:rPr>
      </w:pPr>
      <w:r>
        <w:rPr>
          <w:sz w:val="22"/>
          <w:szCs w:val="22"/>
        </w:rPr>
        <w:t>If</w:t>
      </w:r>
      <w:r>
        <w:rPr>
          <w:rFonts w:hint="eastAsia"/>
          <w:sz w:val="22"/>
          <w:szCs w:val="22"/>
        </w:rPr>
        <w:t xml:space="preserve"> no corresponding response is received</w:t>
      </w:r>
      <w:r>
        <w:rPr>
          <w:sz w:val="22"/>
          <w:szCs w:val="22"/>
        </w:rPr>
        <w:t xml:space="preserve"> wit</w:t>
      </w:r>
      <w:r>
        <w:rPr>
          <w:sz w:val="22"/>
          <w:szCs w:val="22"/>
        </w:rPr>
        <w:t>hin the window</w:t>
      </w:r>
      <w:r>
        <w:rPr>
          <w:rFonts w:hint="eastAsia"/>
          <w:sz w:val="22"/>
          <w:szCs w:val="22"/>
        </w:rPr>
        <w:t xml:space="preserve">, the UE should </w:t>
      </w:r>
      <w:r>
        <w:rPr>
          <w:sz w:val="22"/>
          <w:szCs w:val="22"/>
        </w:rPr>
        <w:t>assume</w:t>
      </w:r>
      <w:r>
        <w:rPr>
          <w:rFonts w:hint="eastAsia"/>
          <w:sz w:val="22"/>
          <w:szCs w:val="22"/>
        </w:rPr>
        <w:t xml:space="preserve"> the </w:t>
      </w:r>
      <w:r>
        <w:rPr>
          <w:sz w:val="22"/>
          <w:szCs w:val="22"/>
        </w:rPr>
        <w:t>m</w:t>
      </w:r>
      <w:r>
        <w:rPr>
          <w:rFonts w:hint="eastAsia"/>
          <w:sz w:val="22"/>
          <w:szCs w:val="22"/>
        </w:rPr>
        <w:t>sg</w:t>
      </w:r>
      <w:r>
        <w:rPr>
          <w:sz w:val="22"/>
          <w:szCs w:val="22"/>
        </w:rPr>
        <w:t>A</w:t>
      </w:r>
      <w:r>
        <w:rPr>
          <w:rFonts w:hint="eastAsia"/>
          <w:sz w:val="22"/>
          <w:szCs w:val="22"/>
        </w:rPr>
        <w:t xml:space="preserve"> transmission attempt failed and initiate another </w:t>
      </w:r>
      <w:r>
        <w:rPr>
          <w:sz w:val="22"/>
          <w:szCs w:val="22"/>
        </w:rPr>
        <w:t>m</w:t>
      </w:r>
      <w:r>
        <w:rPr>
          <w:rFonts w:hint="eastAsia"/>
          <w:sz w:val="22"/>
          <w:szCs w:val="22"/>
        </w:rPr>
        <w:t>sg</w:t>
      </w:r>
      <w:r>
        <w:rPr>
          <w:sz w:val="22"/>
          <w:szCs w:val="22"/>
        </w:rPr>
        <w:t>A or msg1</w:t>
      </w:r>
      <w:r>
        <w:rPr>
          <w:rFonts w:hint="eastAsia"/>
          <w:sz w:val="22"/>
          <w:szCs w:val="22"/>
        </w:rPr>
        <w:t xml:space="preserve"> transmission attempt, if allowed.</w:t>
      </w:r>
    </w:p>
    <w:p w14:paraId="439A9DDF" w14:textId="77777777" w:rsidR="00CD70F0" w:rsidRDefault="000171A9">
      <w:pPr>
        <w:rPr>
          <w:sz w:val="22"/>
          <w:szCs w:val="22"/>
        </w:rPr>
      </w:pPr>
      <w:r>
        <w:rPr>
          <w:rFonts w:hint="eastAsia"/>
          <w:sz w:val="22"/>
          <w:szCs w:val="22"/>
        </w:rPr>
        <w:lastRenderedPageBreak/>
        <w:t xml:space="preserve">For the </w:t>
      </w:r>
      <w:r>
        <w:rPr>
          <w:sz w:val="22"/>
          <w:szCs w:val="22"/>
        </w:rPr>
        <w:t>m</w:t>
      </w:r>
      <w:r>
        <w:rPr>
          <w:rFonts w:hint="eastAsia"/>
          <w:sz w:val="22"/>
          <w:szCs w:val="22"/>
        </w:rPr>
        <w:t>sg</w:t>
      </w:r>
      <w:r>
        <w:rPr>
          <w:sz w:val="22"/>
          <w:szCs w:val="22"/>
        </w:rPr>
        <w:t>A r</w:t>
      </w:r>
      <w:r>
        <w:rPr>
          <w:rFonts w:hint="eastAsia"/>
          <w:sz w:val="22"/>
          <w:szCs w:val="22"/>
        </w:rPr>
        <w:t>esponse</w:t>
      </w:r>
      <w:r>
        <w:rPr>
          <w:sz w:val="22"/>
          <w:szCs w:val="22"/>
        </w:rPr>
        <w:t xml:space="preserve"> w</w:t>
      </w:r>
      <w:r>
        <w:rPr>
          <w:rFonts w:hint="eastAsia"/>
          <w:sz w:val="22"/>
          <w:szCs w:val="22"/>
        </w:rPr>
        <w:t xml:space="preserve">indow, the length of </w:t>
      </w:r>
      <w:r>
        <w:rPr>
          <w:sz w:val="22"/>
          <w:szCs w:val="22"/>
        </w:rPr>
        <w:t>m</w:t>
      </w:r>
      <w:r>
        <w:rPr>
          <w:rFonts w:hint="eastAsia"/>
          <w:sz w:val="22"/>
          <w:szCs w:val="22"/>
        </w:rPr>
        <w:t>sg</w:t>
      </w:r>
      <w:r>
        <w:rPr>
          <w:sz w:val="22"/>
          <w:szCs w:val="22"/>
        </w:rPr>
        <w:t>A r</w:t>
      </w:r>
      <w:r>
        <w:rPr>
          <w:rFonts w:hint="eastAsia"/>
          <w:sz w:val="22"/>
          <w:szCs w:val="22"/>
        </w:rPr>
        <w:t>esponse</w:t>
      </w:r>
      <w:r>
        <w:rPr>
          <w:sz w:val="22"/>
          <w:szCs w:val="22"/>
        </w:rPr>
        <w:t xml:space="preserve"> w</w:t>
      </w:r>
      <w:r>
        <w:rPr>
          <w:rFonts w:hint="eastAsia"/>
          <w:sz w:val="22"/>
          <w:szCs w:val="22"/>
        </w:rPr>
        <w:t>indow is configured in RRC signaling</w:t>
      </w:r>
      <w:r>
        <w:rPr>
          <w:sz w:val="22"/>
          <w:szCs w:val="22"/>
        </w:rPr>
        <w:t xml:space="preserve"> as usual</w:t>
      </w:r>
      <w:r>
        <w:rPr>
          <w:rFonts w:hint="eastAsia"/>
          <w:sz w:val="22"/>
          <w:szCs w:val="22"/>
        </w:rPr>
        <w:t xml:space="preserve">. </w:t>
      </w:r>
    </w:p>
    <w:p w14:paraId="1DA73AF9" w14:textId="77777777" w:rsidR="00CD70F0" w:rsidRDefault="000171A9">
      <w:pPr>
        <w:rPr>
          <w:sz w:val="22"/>
          <w:szCs w:val="22"/>
        </w:rPr>
      </w:pPr>
      <w:r>
        <w:rPr>
          <w:sz w:val="22"/>
          <w:szCs w:val="22"/>
        </w:rPr>
        <w:t xml:space="preserve">It is preferable to reuse the principle of </w:t>
      </w:r>
      <w:r>
        <w:rPr>
          <w:rFonts w:hint="eastAsia"/>
          <w:i/>
          <w:sz w:val="22"/>
          <w:szCs w:val="22"/>
        </w:rPr>
        <w:t>ra-ResponseWindow</w:t>
      </w:r>
      <w:r>
        <w:rPr>
          <w:rFonts w:hint="eastAsia"/>
          <w:sz w:val="22"/>
          <w:szCs w:val="22"/>
        </w:rPr>
        <w:t xml:space="preserve"> </w:t>
      </w:r>
      <w:r>
        <w:rPr>
          <w:sz w:val="22"/>
          <w:szCs w:val="22"/>
        </w:rPr>
        <w:t xml:space="preserve">of Rel-15 NR which </w:t>
      </w:r>
      <w:r>
        <w:rPr>
          <w:rFonts w:hint="eastAsia"/>
          <w:sz w:val="22"/>
          <w:szCs w:val="22"/>
        </w:rPr>
        <w:t xml:space="preserve">is beneficial </w:t>
      </w:r>
      <w:r>
        <w:rPr>
          <w:sz w:val="22"/>
          <w:szCs w:val="22"/>
        </w:rPr>
        <w:t>for the</w:t>
      </w:r>
      <w:r>
        <w:rPr>
          <w:rFonts w:hint="eastAsia"/>
          <w:sz w:val="22"/>
          <w:szCs w:val="22"/>
        </w:rPr>
        <w:t xml:space="preserve"> align</w:t>
      </w:r>
      <w:r>
        <w:rPr>
          <w:sz w:val="22"/>
          <w:szCs w:val="22"/>
        </w:rPr>
        <w:t>ment between</w:t>
      </w:r>
      <w:r>
        <w:rPr>
          <w:rFonts w:hint="eastAsia"/>
          <w:sz w:val="22"/>
          <w:szCs w:val="22"/>
        </w:rPr>
        <w:t xml:space="preserve"> the procedures </w:t>
      </w:r>
      <w:r>
        <w:rPr>
          <w:sz w:val="22"/>
          <w:szCs w:val="22"/>
        </w:rPr>
        <w:t>of</w:t>
      </w:r>
      <w:r>
        <w:rPr>
          <w:rFonts w:hint="eastAsia"/>
          <w:sz w:val="22"/>
          <w:szCs w:val="22"/>
        </w:rPr>
        <w:t xml:space="preserve"> 2</w:t>
      </w:r>
      <w:r>
        <w:rPr>
          <w:sz w:val="22"/>
          <w:szCs w:val="22"/>
        </w:rPr>
        <w:t>-</w:t>
      </w:r>
      <w:r>
        <w:rPr>
          <w:rFonts w:hint="eastAsia"/>
          <w:sz w:val="22"/>
          <w:szCs w:val="22"/>
        </w:rPr>
        <w:t>step</w:t>
      </w:r>
      <w:r>
        <w:rPr>
          <w:sz w:val="22"/>
          <w:szCs w:val="22"/>
        </w:rPr>
        <w:t xml:space="preserve"> RACH and </w:t>
      </w:r>
      <w:r>
        <w:rPr>
          <w:rFonts w:hint="eastAsia"/>
          <w:sz w:val="22"/>
          <w:szCs w:val="22"/>
        </w:rPr>
        <w:t>4</w:t>
      </w:r>
      <w:r>
        <w:rPr>
          <w:sz w:val="22"/>
          <w:szCs w:val="22"/>
        </w:rPr>
        <w:t>-</w:t>
      </w:r>
      <w:r>
        <w:rPr>
          <w:rFonts w:hint="eastAsia"/>
          <w:sz w:val="22"/>
          <w:szCs w:val="22"/>
        </w:rPr>
        <w:t>step RACH</w:t>
      </w:r>
      <w:r>
        <w:rPr>
          <w:sz w:val="22"/>
          <w:szCs w:val="22"/>
        </w:rPr>
        <w:t>.</w:t>
      </w:r>
      <w:r>
        <w:rPr>
          <w:rFonts w:hint="eastAsia"/>
          <w:sz w:val="22"/>
          <w:szCs w:val="22"/>
        </w:rPr>
        <w:t xml:space="preserve"> </w:t>
      </w:r>
      <w:r>
        <w:rPr>
          <w:sz w:val="22"/>
          <w:szCs w:val="22"/>
        </w:rPr>
        <w:t xml:space="preserve">Less spec </w:t>
      </w:r>
      <w:r>
        <w:rPr>
          <w:rFonts w:hint="eastAsia"/>
          <w:sz w:val="22"/>
          <w:szCs w:val="22"/>
        </w:rPr>
        <w:t xml:space="preserve">impact </w:t>
      </w:r>
      <w:r>
        <w:rPr>
          <w:sz w:val="22"/>
          <w:szCs w:val="22"/>
        </w:rPr>
        <w:t>can be imagined</w:t>
      </w:r>
      <w:r>
        <w:rPr>
          <w:rFonts w:hint="eastAsia"/>
          <w:sz w:val="22"/>
          <w:szCs w:val="22"/>
        </w:rPr>
        <w:t>.</w:t>
      </w:r>
      <w:r>
        <w:rPr>
          <w:sz w:val="22"/>
          <w:szCs w:val="22"/>
        </w:rPr>
        <w:t xml:space="preserve"> </w:t>
      </w:r>
    </w:p>
    <w:p w14:paraId="338E1675" w14:textId="77777777" w:rsidR="00CD70F0" w:rsidRDefault="000171A9">
      <w:pPr>
        <w:rPr>
          <w:sz w:val="22"/>
          <w:szCs w:val="22"/>
        </w:rPr>
      </w:pPr>
      <w:r>
        <w:rPr>
          <w:sz w:val="22"/>
          <w:szCs w:val="22"/>
        </w:rPr>
        <w:t xml:space="preserve">There are two main issues for reusing the </w:t>
      </w:r>
      <w:r>
        <w:rPr>
          <w:rFonts w:hint="eastAsia"/>
          <w:i/>
          <w:sz w:val="22"/>
          <w:szCs w:val="22"/>
        </w:rPr>
        <w:t>ra-ResponseW</w:t>
      </w:r>
      <w:r>
        <w:rPr>
          <w:rFonts w:hint="eastAsia"/>
          <w:i/>
          <w:sz w:val="22"/>
          <w:szCs w:val="22"/>
        </w:rPr>
        <w:t>indow</w:t>
      </w:r>
      <w:r>
        <w:rPr>
          <w:rFonts w:hint="eastAsia"/>
          <w:sz w:val="22"/>
          <w:szCs w:val="22"/>
        </w:rPr>
        <w:t xml:space="preserve"> </w:t>
      </w:r>
      <w:r>
        <w:rPr>
          <w:sz w:val="22"/>
          <w:szCs w:val="22"/>
        </w:rPr>
        <w:t xml:space="preserve">of Rel-15 NR: </w:t>
      </w:r>
    </w:p>
    <w:p w14:paraId="6D006297" w14:textId="77777777" w:rsidR="00CD70F0" w:rsidRDefault="000171A9">
      <w:pPr>
        <w:rPr>
          <w:sz w:val="22"/>
          <w:szCs w:val="22"/>
        </w:rPr>
      </w:pPr>
      <w:r>
        <w:rPr>
          <w:sz w:val="22"/>
          <w:szCs w:val="22"/>
        </w:rPr>
        <w:t>1) T</w:t>
      </w:r>
      <w:r>
        <w:rPr>
          <w:rFonts w:hint="eastAsia"/>
          <w:sz w:val="22"/>
          <w:szCs w:val="22"/>
        </w:rPr>
        <w:t>he start</w:t>
      </w:r>
      <w:r>
        <w:rPr>
          <w:sz w:val="22"/>
          <w:szCs w:val="22"/>
        </w:rPr>
        <w:t>ing</w:t>
      </w:r>
      <w:r>
        <w:rPr>
          <w:rFonts w:hint="eastAsia"/>
          <w:sz w:val="22"/>
          <w:szCs w:val="22"/>
        </w:rPr>
        <w:t xml:space="preserve"> </w:t>
      </w:r>
      <w:r>
        <w:rPr>
          <w:sz w:val="22"/>
          <w:szCs w:val="22"/>
        </w:rPr>
        <w:t xml:space="preserve">point </w:t>
      </w:r>
      <w:r>
        <w:rPr>
          <w:rFonts w:hint="eastAsia"/>
          <w:sz w:val="22"/>
          <w:szCs w:val="22"/>
        </w:rPr>
        <w:t xml:space="preserve">of </w:t>
      </w:r>
      <w:r>
        <w:rPr>
          <w:rFonts w:hint="eastAsia"/>
          <w:i/>
          <w:sz w:val="22"/>
          <w:szCs w:val="22"/>
        </w:rPr>
        <w:t>r</w:t>
      </w:r>
      <w:r>
        <w:rPr>
          <w:i/>
          <w:sz w:val="22"/>
          <w:szCs w:val="22"/>
        </w:rPr>
        <w:t>a</w:t>
      </w:r>
      <w:r>
        <w:rPr>
          <w:rFonts w:hint="eastAsia"/>
          <w:i/>
          <w:sz w:val="22"/>
          <w:szCs w:val="22"/>
        </w:rPr>
        <w:t>-ResponseWindow</w:t>
      </w:r>
      <w:r>
        <w:rPr>
          <w:rFonts w:hint="eastAsia"/>
          <w:sz w:val="22"/>
          <w:szCs w:val="22"/>
        </w:rPr>
        <w:t xml:space="preserve"> </w:t>
      </w:r>
      <w:r>
        <w:rPr>
          <w:sz w:val="22"/>
          <w:szCs w:val="22"/>
        </w:rPr>
        <w:t>for</w:t>
      </w:r>
      <w:r>
        <w:rPr>
          <w:rFonts w:hint="eastAsia"/>
          <w:sz w:val="22"/>
          <w:szCs w:val="22"/>
        </w:rPr>
        <w:t xml:space="preserve"> 2</w:t>
      </w:r>
      <w:r>
        <w:rPr>
          <w:sz w:val="22"/>
          <w:szCs w:val="22"/>
        </w:rPr>
        <w:t>-step CBRA may</w:t>
      </w:r>
      <w:r>
        <w:rPr>
          <w:rFonts w:hint="eastAsia"/>
          <w:sz w:val="22"/>
          <w:szCs w:val="22"/>
        </w:rPr>
        <w:t xml:space="preserve"> be different</w:t>
      </w:r>
      <w:r>
        <w:rPr>
          <w:sz w:val="22"/>
          <w:szCs w:val="22"/>
        </w:rPr>
        <w:t xml:space="preserve"> with 4-step RACH, simply b</w:t>
      </w:r>
      <w:r>
        <w:rPr>
          <w:rFonts w:hint="eastAsia"/>
          <w:sz w:val="22"/>
          <w:szCs w:val="22"/>
        </w:rPr>
        <w:t xml:space="preserve">ecause </w:t>
      </w:r>
      <w:r>
        <w:rPr>
          <w:sz w:val="22"/>
          <w:szCs w:val="22"/>
        </w:rPr>
        <w:t>m</w:t>
      </w:r>
      <w:r>
        <w:rPr>
          <w:rFonts w:hint="eastAsia"/>
          <w:sz w:val="22"/>
          <w:szCs w:val="22"/>
        </w:rPr>
        <w:t>sg</w:t>
      </w:r>
      <w:r>
        <w:rPr>
          <w:sz w:val="22"/>
          <w:szCs w:val="22"/>
        </w:rPr>
        <w:t>A</w:t>
      </w:r>
      <w:r>
        <w:rPr>
          <w:rFonts w:hint="eastAsia"/>
          <w:sz w:val="22"/>
          <w:szCs w:val="22"/>
        </w:rPr>
        <w:t xml:space="preserve"> contains both preamble part and data part, which </w:t>
      </w:r>
      <w:r>
        <w:rPr>
          <w:sz w:val="22"/>
          <w:szCs w:val="22"/>
        </w:rPr>
        <w:t>will</w:t>
      </w:r>
      <w:r>
        <w:rPr>
          <w:rFonts w:hint="eastAsia"/>
          <w:sz w:val="22"/>
          <w:szCs w:val="22"/>
        </w:rPr>
        <w:t xml:space="preserve"> be </w:t>
      </w:r>
      <w:r>
        <w:rPr>
          <w:sz w:val="22"/>
          <w:szCs w:val="22"/>
        </w:rPr>
        <w:t xml:space="preserve">TDMed transmitted </w:t>
      </w:r>
      <w:r>
        <w:rPr>
          <w:rFonts w:hint="eastAsia"/>
          <w:sz w:val="22"/>
          <w:szCs w:val="22"/>
        </w:rPr>
        <w:t xml:space="preserve">in two </w:t>
      </w:r>
      <w:r>
        <w:rPr>
          <w:sz w:val="22"/>
          <w:szCs w:val="22"/>
        </w:rPr>
        <w:t xml:space="preserve">consecutive </w:t>
      </w:r>
      <w:r>
        <w:rPr>
          <w:rFonts w:hint="eastAsia"/>
          <w:sz w:val="22"/>
          <w:szCs w:val="22"/>
        </w:rPr>
        <w:t>s</w:t>
      </w:r>
      <w:r>
        <w:rPr>
          <w:sz w:val="22"/>
          <w:szCs w:val="22"/>
        </w:rPr>
        <w:t>l</w:t>
      </w:r>
      <w:r>
        <w:rPr>
          <w:rFonts w:hint="eastAsia"/>
          <w:sz w:val="22"/>
          <w:szCs w:val="22"/>
        </w:rPr>
        <w:t>ots</w:t>
      </w:r>
      <w:r>
        <w:rPr>
          <w:sz w:val="22"/>
          <w:szCs w:val="22"/>
        </w:rPr>
        <w:t xml:space="preserve"> </w:t>
      </w:r>
      <w:r>
        <w:rPr>
          <w:rFonts w:hint="eastAsia"/>
          <w:sz w:val="22"/>
          <w:szCs w:val="22"/>
        </w:rPr>
        <w:t>or</w:t>
      </w:r>
      <w:r>
        <w:rPr>
          <w:sz w:val="22"/>
          <w:szCs w:val="22"/>
        </w:rPr>
        <w:t xml:space="preserve"> more slots with th</w:t>
      </w:r>
      <w:r>
        <w:rPr>
          <w:sz w:val="22"/>
          <w:szCs w:val="22"/>
        </w:rPr>
        <w:t>e gap between preamble and payload</w:t>
      </w:r>
      <w:r>
        <w:rPr>
          <w:rFonts w:hint="eastAsia"/>
          <w:sz w:val="22"/>
          <w:szCs w:val="22"/>
        </w:rPr>
        <w:t xml:space="preserve">. </w:t>
      </w:r>
      <w:r>
        <w:rPr>
          <w:sz w:val="22"/>
          <w:szCs w:val="22"/>
        </w:rPr>
        <w:t>It is reasonable to start the msgA response window after the whole msgA transmission. The offset between the end of msgA and the starting point of response window can be further studied.</w:t>
      </w:r>
    </w:p>
    <w:p w14:paraId="42D31DC3" w14:textId="77777777" w:rsidR="00CD70F0" w:rsidRDefault="000171A9">
      <w:pPr>
        <w:rPr>
          <w:sz w:val="22"/>
          <w:szCs w:val="22"/>
        </w:rPr>
      </w:pPr>
      <w:r>
        <w:rPr>
          <w:sz w:val="22"/>
          <w:szCs w:val="22"/>
        </w:rPr>
        <w:t>2) Whether the window size need t</w:t>
      </w:r>
      <w:r>
        <w:rPr>
          <w:sz w:val="22"/>
          <w:szCs w:val="22"/>
        </w:rPr>
        <w:t>o be extended is not clear and need more discussion. At least for the case of NR-U, it seems that RA response window will be extended</w:t>
      </w:r>
      <w:r>
        <w:rPr>
          <w:rFonts w:ascii="Arial" w:hAnsi="Arial" w:cs="Arial"/>
          <w:color w:val="666666"/>
          <w:sz w:val="22"/>
          <w:szCs w:val="22"/>
          <w:shd w:val="clear" w:color="auto" w:fill="FFFFFF"/>
        </w:rPr>
        <w:t xml:space="preserve"> </w:t>
      </w:r>
      <w:r>
        <w:rPr>
          <w:sz w:val="22"/>
          <w:szCs w:val="22"/>
        </w:rPr>
        <w:t xml:space="preserve">with high probability. Given that we need to support NR-U for 2-step RACH, any extended RAR window length as agreed under </w:t>
      </w:r>
      <w:r>
        <w:rPr>
          <w:sz w:val="22"/>
          <w:szCs w:val="22"/>
        </w:rPr>
        <w:t>NR-U framework can be reused in 2-step RACH too (even for licensed spectrum case) .</w:t>
      </w:r>
      <w:r>
        <w:rPr>
          <w:rFonts w:hint="eastAsia"/>
          <w:color w:val="0000FF"/>
          <w:sz w:val="22"/>
          <w:szCs w:val="22"/>
        </w:rPr>
        <w:t xml:space="preserve"> </w:t>
      </w:r>
      <w:r>
        <w:rPr>
          <w:sz w:val="22"/>
          <w:szCs w:val="22"/>
        </w:rPr>
        <w:t>To be sure, t</w:t>
      </w:r>
      <w:r>
        <w:rPr>
          <w:rFonts w:hint="eastAsia"/>
          <w:sz w:val="22"/>
          <w:szCs w:val="22"/>
        </w:rPr>
        <w:t xml:space="preserve">he extension of ra-ResponseWindow will </w:t>
      </w:r>
      <w:r>
        <w:rPr>
          <w:sz w:val="22"/>
          <w:szCs w:val="22"/>
        </w:rPr>
        <w:t xml:space="preserve">significantly </w:t>
      </w:r>
      <w:r>
        <w:rPr>
          <w:rFonts w:hint="eastAsia"/>
          <w:sz w:val="22"/>
          <w:szCs w:val="22"/>
        </w:rPr>
        <w:t xml:space="preserve">impact the RA-RNTI </w:t>
      </w:r>
      <w:r>
        <w:rPr>
          <w:sz w:val="22"/>
          <w:szCs w:val="22"/>
        </w:rPr>
        <w:t>generation.</w:t>
      </w:r>
    </w:p>
    <w:p w14:paraId="382992B0" w14:textId="77777777" w:rsidR="00CD70F0" w:rsidRDefault="00CD70F0">
      <w:pPr>
        <w:rPr>
          <w:b/>
          <w:i/>
          <w:sz w:val="22"/>
          <w:szCs w:val="22"/>
        </w:rPr>
      </w:pPr>
    </w:p>
    <w:p w14:paraId="2DED4367" w14:textId="77777777" w:rsidR="00CD70F0" w:rsidRDefault="000171A9">
      <w:pPr>
        <w:rPr>
          <w:b/>
          <w:bCs/>
          <w:sz w:val="22"/>
          <w:szCs w:val="22"/>
        </w:rPr>
      </w:pPr>
      <w:r>
        <w:rPr>
          <w:b/>
          <w:i/>
          <w:sz w:val="22"/>
          <w:szCs w:val="22"/>
        </w:rPr>
        <w:t>Proposal</w:t>
      </w:r>
      <w:r>
        <w:rPr>
          <w:rFonts w:hint="eastAsia"/>
          <w:b/>
          <w:bCs/>
          <w:sz w:val="22"/>
          <w:szCs w:val="22"/>
        </w:rPr>
        <w:t xml:space="preserve"> </w:t>
      </w:r>
      <w:r>
        <w:rPr>
          <w:b/>
          <w:bCs/>
          <w:i/>
          <w:sz w:val="22"/>
          <w:szCs w:val="22"/>
        </w:rPr>
        <w:t xml:space="preserve">4: The RA response window for msgB reception shall start after </w:t>
      </w:r>
      <w:r>
        <w:rPr>
          <w:b/>
          <w:bCs/>
          <w:i/>
          <w:sz w:val="22"/>
          <w:szCs w:val="22"/>
        </w:rPr>
        <w:t>the transmission of PUSCH of msgA and an offset between the end of msgA and the starting point of response window can be further studied</w:t>
      </w:r>
      <w:r>
        <w:rPr>
          <w:rFonts w:hint="eastAsia"/>
          <w:b/>
          <w:bCs/>
          <w:sz w:val="22"/>
          <w:szCs w:val="22"/>
        </w:rPr>
        <w:t>.</w:t>
      </w:r>
    </w:p>
    <w:p w14:paraId="023F9B9E" w14:textId="77777777" w:rsidR="00CD70F0" w:rsidRDefault="00CD70F0">
      <w:pPr>
        <w:rPr>
          <w:b/>
          <w:bCs/>
        </w:rPr>
      </w:pPr>
    </w:p>
    <w:p w14:paraId="5D419DAA" w14:textId="77777777" w:rsidR="00CD70F0" w:rsidRDefault="000171A9">
      <w:pPr>
        <w:pStyle w:val="2"/>
        <w:numPr>
          <w:ilvl w:val="1"/>
          <w:numId w:val="1"/>
        </w:numPr>
      </w:pPr>
      <w:r>
        <w:t>Fall back from 2-step RACH to 4-step RACH</w:t>
      </w:r>
    </w:p>
    <w:p w14:paraId="394A757A" w14:textId="77777777" w:rsidR="00CD70F0" w:rsidRDefault="000171A9">
      <w:pPr>
        <w:rPr>
          <w:sz w:val="22"/>
        </w:rPr>
      </w:pPr>
      <w:r>
        <w:rPr>
          <w:sz w:val="22"/>
        </w:rPr>
        <w:t>In</w:t>
      </w:r>
      <w:r>
        <w:rPr>
          <w:rFonts w:hint="eastAsia"/>
          <w:sz w:val="22"/>
        </w:rPr>
        <w:t xml:space="preserve"> the </w:t>
      </w:r>
      <w:r>
        <w:rPr>
          <w:sz w:val="22"/>
        </w:rPr>
        <w:t>2</w:t>
      </w:r>
      <w:r>
        <w:rPr>
          <w:rFonts w:hint="eastAsia"/>
          <w:sz w:val="22"/>
        </w:rPr>
        <w:t xml:space="preserve">-step </w:t>
      </w:r>
      <w:r>
        <w:rPr>
          <w:sz w:val="22"/>
        </w:rPr>
        <w:t xml:space="preserve">CBRA </w:t>
      </w:r>
      <w:r>
        <w:rPr>
          <w:rFonts w:hint="eastAsia"/>
          <w:sz w:val="22"/>
        </w:rPr>
        <w:t xml:space="preserve">RACH procedure, preamble and </w:t>
      </w:r>
      <w:r>
        <w:rPr>
          <w:sz w:val="22"/>
        </w:rPr>
        <w:t>payload</w:t>
      </w:r>
      <w:r>
        <w:rPr>
          <w:rFonts w:hint="eastAsia"/>
          <w:sz w:val="22"/>
        </w:rPr>
        <w:t xml:space="preserve"> are </w:t>
      </w:r>
      <w:r>
        <w:rPr>
          <w:sz w:val="22"/>
        </w:rPr>
        <w:t xml:space="preserve">both </w:t>
      </w:r>
      <w:r>
        <w:rPr>
          <w:rFonts w:hint="eastAsia"/>
          <w:sz w:val="22"/>
        </w:rPr>
        <w:t>transmitte</w:t>
      </w:r>
      <w:r>
        <w:rPr>
          <w:rFonts w:hint="eastAsia"/>
          <w:sz w:val="22"/>
        </w:rPr>
        <w:t xml:space="preserve">d in </w:t>
      </w:r>
      <w:r>
        <w:rPr>
          <w:sz w:val="22"/>
        </w:rPr>
        <w:t>m</w:t>
      </w:r>
      <w:r>
        <w:rPr>
          <w:rFonts w:hint="eastAsia"/>
          <w:sz w:val="22"/>
        </w:rPr>
        <w:t>sg</w:t>
      </w:r>
      <w:r>
        <w:rPr>
          <w:sz w:val="22"/>
        </w:rPr>
        <w:t>A</w:t>
      </w:r>
      <w:r>
        <w:rPr>
          <w:rFonts w:hint="eastAsia"/>
          <w:sz w:val="22"/>
        </w:rPr>
        <w:t xml:space="preserve">. </w:t>
      </w:r>
      <w:r>
        <w:rPr>
          <w:sz w:val="22"/>
        </w:rPr>
        <w:t>H</w:t>
      </w:r>
      <w:r>
        <w:rPr>
          <w:rFonts w:hint="eastAsia"/>
          <w:sz w:val="22"/>
        </w:rPr>
        <w:t xml:space="preserve">owever, the </w:t>
      </w:r>
      <w:r>
        <w:rPr>
          <w:sz w:val="22"/>
        </w:rPr>
        <w:t xml:space="preserve">receiver sensitivity for the preamble and payload are different. Hence, </w:t>
      </w:r>
      <w:r>
        <w:rPr>
          <w:rFonts w:hint="eastAsia"/>
          <w:sz w:val="22"/>
        </w:rPr>
        <w:t xml:space="preserve">it is possible that </w:t>
      </w:r>
      <w:r>
        <w:rPr>
          <w:sz w:val="22"/>
        </w:rPr>
        <w:t xml:space="preserve">gNB </w:t>
      </w:r>
      <w:r>
        <w:rPr>
          <w:rFonts w:hint="eastAsia"/>
          <w:sz w:val="22"/>
        </w:rPr>
        <w:t>detect</w:t>
      </w:r>
      <w:r>
        <w:rPr>
          <w:sz w:val="22"/>
        </w:rPr>
        <w:t>s</w:t>
      </w:r>
      <w:r>
        <w:rPr>
          <w:rFonts w:hint="eastAsia"/>
          <w:sz w:val="22"/>
        </w:rPr>
        <w:t xml:space="preserve"> the preamble </w:t>
      </w:r>
      <w:r>
        <w:rPr>
          <w:sz w:val="22"/>
        </w:rPr>
        <w:t>successfully</w:t>
      </w:r>
      <w:r>
        <w:rPr>
          <w:rFonts w:hint="eastAsia"/>
          <w:sz w:val="22"/>
        </w:rPr>
        <w:t xml:space="preserve"> but fail</w:t>
      </w:r>
      <w:r>
        <w:rPr>
          <w:sz w:val="22"/>
        </w:rPr>
        <w:t>s</w:t>
      </w:r>
      <w:r>
        <w:rPr>
          <w:rFonts w:hint="eastAsia"/>
          <w:sz w:val="22"/>
        </w:rPr>
        <w:t xml:space="preserve"> to detect </w:t>
      </w:r>
      <w:r>
        <w:rPr>
          <w:sz w:val="22"/>
        </w:rPr>
        <w:t>the payload</w:t>
      </w:r>
      <w:r>
        <w:rPr>
          <w:rFonts w:hint="eastAsia"/>
          <w:sz w:val="22"/>
        </w:rPr>
        <w:t xml:space="preserve"> part. In this situation, </w:t>
      </w:r>
      <w:r>
        <w:rPr>
          <w:sz w:val="22"/>
        </w:rPr>
        <w:t>fall back to 4-step RACH is needed.</w:t>
      </w:r>
    </w:p>
    <w:p w14:paraId="78899751" w14:textId="77777777" w:rsidR="00CD70F0" w:rsidRDefault="000171A9">
      <w:pPr>
        <w:rPr>
          <w:sz w:val="22"/>
        </w:rPr>
      </w:pPr>
      <w:r>
        <w:rPr>
          <w:rFonts w:hint="eastAsia"/>
          <w:b/>
          <w:sz w:val="22"/>
        </w:rPr>
        <w:t>Fall</w:t>
      </w:r>
      <w:r>
        <w:rPr>
          <w:b/>
          <w:sz w:val="22"/>
        </w:rPr>
        <w:t xml:space="preserve"> </w:t>
      </w:r>
      <w:r>
        <w:rPr>
          <w:rFonts w:hint="eastAsia"/>
          <w:b/>
          <w:sz w:val="22"/>
        </w:rPr>
        <w:t>back</w:t>
      </w:r>
      <w:r>
        <w:rPr>
          <w:rFonts w:hint="eastAsia"/>
          <w:b/>
          <w:sz w:val="22"/>
        </w:rPr>
        <w:t xml:space="preserve"> to 4-step RACH</w:t>
      </w:r>
      <w:r>
        <w:rPr>
          <w:b/>
          <w:sz w:val="22"/>
        </w:rPr>
        <w:t xml:space="preserve"> by scheduling msg3</w:t>
      </w:r>
      <w:r>
        <w:rPr>
          <w:sz w:val="22"/>
        </w:rPr>
        <w:t xml:space="preserve">: </w:t>
      </w:r>
    </w:p>
    <w:p w14:paraId="517F0200" w14:textId="77777777" w:rsidR="00CD70F0" w:rsidRDefault="000171A9">
      <w:pPr>
        <w:rPr>
          <w:sz w:val="22"/>
        </w:rPr>
      </w:pPr>
      <w:r>
        <w:rPr>
          <w:sz w:val="22"/>
        </w:rPr>
        <w:t>When the gNB only detects the preamble and misses the payload, t</w:t>
      </w:r>
      <w:r>
        <w:rPr>
          <w:rFonts w:hint="eastAsia"/>
          <w:sz w:val="22"/>
        </w:rPr>
        <w:t xml:space="preserve">he </w:t>
      </w:r>
      <w:r>
        <w:rPr>
          <w:sz w:val="22"/>
        </w:rPr>
        <w:t>gNB</w:t>
      </w:r>
      <w:r>
        <w:rPr>
          <w:rFonts w:hint="eastAsia"/>
          <w:sz w:val="22"/>
        </w:rPr>
        <w:t xml:space="preserve"> can send the </w:t>
      </w:r>
      <w:r>
        <w:rPr>
          <w:sz w:val="22"/>
        </w:rPr>
        <w:t>msgB content which is identical with the legacy</w:t>
      </w:r>
      <w:r>
        <w:rPr>
          <w:rFonts w:hint="eastAsia"/>
          <w:sz w:val="22"/>
        </w:rPr>
        <w:t xml:space="preserve"> </w:t>
      </w:r>
      <w:r>
        <w:rPr>
          <w:sz w:val="22"/>
        </w:rPr>
        <w:t>msg2 to UE at the second step.</w:t>
      </w:r>
      <w:r>
        <w:rPr>
          <w:rFonts w:hint="eastAsia"/>
          <w:sz w:val="22"/>
        </w:rPr>
        <w:t xml:space="preserve"> UE</w:t>
      </w:r>
      <w:r>
        <w:rPr>
          <w:sz w:val="22"/>
        </w:rPr>
        <w:t xml:space="preserve"> will</w:t>
      </w:r>
      <w:r>
        <w:rPr>
          <w:rFonts w:hint="eastAsia"/>
          <w:sz w:val="22"/>
        </w:rPr>
        <w:t xml:space="preserve"> take the same </w:t>
      </w:r>
      <w:r>
        <w:rPr>
          <w:sz w:val="22"/>
        </w:rPr>
        <w:t>behavior on the reception of messa</w:t>
      </w:r>
      <w:r>
        <w:rPr>
          <w:sz w:val="22"/>
        </w:rPr>
        <w:t xml:space="preserve">ge at second step </w:t>
      </w:r>
      <w:r>
        <w:rPr>
          <w:rFonts w:hint="eastAsia"/>
          <w:sz w:val="22"/>
        </w:rPr>
        <w:t xml:space="preserve">as the msg2 </w:t>
      </w:r>
      <w:r>
        <w:rPr>
          <w:sz w:val="22"/>
        </w:rPr>
        <w:t>reception</w:t>
      </w:r>
      <w:r>
        <w:rPr>
          <w:rFonts w:hint="eastAsia"/>
          <w:sz w:val="22"/>
        </w:rPr>
        <w:t xml:space="preserve"> in 4-step RACH procedure.</w:t>
      </w:r>
      <w:r>
        <w:rPr>
          <w:sz w:val="22"/>
        </w:rPr>
        <w:t xml:space="preserve"> O</w:t>
      </w:r>
      <w:r>
        <w:rPr>
          <w:rFonts w:hint="eastAsia"/>
          <w:sz w:val="22"/>
        </w:rPr>
        <w:t xml:space="preserve">nce the </w:t>
      </w:r>
      <w:r>
        <w:rPr>
          <w:sz w:val="22"/>
        </w:rPr>
        <w:t>msgB identical with msg2</w:t>
      </w:r>
      <w:r>
        <w:rPr>
          <w:rFonts w:hint="eastAsia"/>
          <w:sz w:val="22"/>
        </w:rPr>
        <w:t xml:space="preserve"> is receive by UE, the UE should transmit the </w:t>
      </w:r>
      <w:r>
        <w:rPr>
          <w:sz w:val="22"/>
        </w:rPr>
        <w:t xml:space="preserve">legacy </w:t>
      </w:r>
      <w:r>
        <w:rPr>
          <w:rFonts w:hint="eastAsia"/>
          <w:sz w:val="22"/>
        </w:rPr>
        <w:t>msg</w:t>
      </w:r>
      <w:r>
        <w:rPr>
          <w:sz w:val="22"/>
        </w:rPr>
        <w:t>3</w:t>
      </w:r>
      <w:r>
        <w:rPr>
          <w:rFonts w:hint="eastAsia"/>
          <w:sz w:val="22"/>
        </w:rPr>
        <w:t xml:space="preserve"> according to the </w:t>
      </w:r>
      <w:r>
        <w:rPr>
          <w:sz w:val="22"/>
        </w:rPr>
        <w:t xml:space="preserve">UL grant in </w:t>
      </w:r>
      <w:r>
        <w:rPr>
          <w:rFonts w:hint="eastAsia"/>
          <w:sz w:val="22"/>
        </w:rPr>
        <w:t>RAR received</w:t>
      </w:r>
      <w:r>
        <w:rPr>
          <w:sz w:val="22"/>
        </w:rPr>
        <w:t xml:space="preserve">. </w:t>
      </w:r>
    </w:p>
    <w:p w14:paraId="107C9258" w14:textId="77777777" w:rsidR="00CD70F0" w:rsidRDefault="000171A9">
      <w:pPr>
        <w:rPr>
          <w:sz w:val="22"/>
        </w:rPr>
      </w:pPr>
      <w:r>
        <w:rPr>
          <w:sz w:val="22"/>
        </w:rPr>
        <w:t>T</w:t>
      </w:r>
      <w:r>
        <w:rPr>
          <w:rFonts w:hint="eastAsia"/>
          <w:sz w:val="22"/>
        </w:rPr>
        <w:t xml:space="preserve">he fallback mechanism can avoid the retransmission of </w:t>
      </w:r>
      <w:r>
        <w:rPr>
          <w:sz w:val="22"/>
        </w:rPr>
        <w:t xml:space="preserve">CBRA </w:t>
      </w:r>
      <w:r>
        <w:rPr>
          <w:rFonts w:hint="eastAsia"/>
          <w:sz w:val="22"/>
        </w:rPr>
        <w:t xml:space="preserve">preamble, </w:t>
      </w:r>
      <w:r>
        <w:rPr>
          <w:sz w:val="22"/>
        </w:rPr>
        <w:t>and at least keep the same latency of</w:t>
      </w:r>
      <w:r>
        <w:rPr>
          <w:rFonts w:hint="eastAsia"/>
          <w:sz w:val="22"/>
        </w:rPr>
        <w:t xml:space="preserve"> the </w:t>
      </w:r>
      <w:r>
        <w:rPr>
          <w:sz w:val="22"/>
        </w:rPr>
        <w:t xml:space="preserve">4-step </w:t>
      </w:r>
      <w:r>
        <w:rPr>
          <w:rFonts w:hint="eastAsia"/>
          <w:sz w:val="22"/>
        </w:rPr>
        <w:t>RA procedure</w:t>
      </w:r>
      <w:r>
        <w:rPr>
          <w:sz w:val="22"/>
        </w:rPr>
        <w:t>.</w:t>
      </w:r>
    </w:p>
    <w:p w14:paraId="1606F35E" w14:textId="77777777" w:rsidR="00CD70F0" w:rsidRDefault="000171A9">
      <w:pPr>
        <w:jc w:val="center"/>
        <w:rPr>
          <w:szCs w:val="28"/>
        </w:rPr>
      </w:pPr>
      <w:r>
        <w:rPr>
          <w:noProof/>
          <w:szCs w:val="28"/>
        </w:rPr>
        <w:lastRenderedPageBreak/>
        <mc:AlternateContent>
          <mc:Choice Requires="wpg">
            <w:drawing>
              <wp:inline distT="0" distB="0" distL="0" distR="0">
                <wp:extent cx="5309235" cy="2829560"/>
                <wp:effectExtent l="0" t="0" r="0" b="27940"/>
                <wp:docPr id="33" name="组合 30"/>
                <wp:cNvGraphicFramePr/>
                <a:graphic xmlns:a="http://schemas.openxmlformats.org/drawingml/2006/main">
                  <a:graphicData uri="http://schemas.microsoft.com/office/word/2010/wordprocessingGroup">
                    <wpg:wgp>
                      <wpg:cNvGrpSpPr/>
                      <wpg:grpSpPr>
                        <a:xfrm>
                          <a:off x="0" y="0"/>
                          <a:ext cx="5309247" cy="2830021"/>
                          <a:chOff x="0" y="52552"/>
                          <a:chExt cx="7199593" cy="3893692"/>
                        </a:xfrm>
                      </wpg:grpSpPr>
                      <wps:wsp>
                        <wps:cNvPr id="34" name="直接连接符 34"/>
                        <wps:cNvCnPr/>
                        <wps:spPr bwMode="auto">
                          <a:xfrm>
                            <a:off x="241540" y="456398"/>
                            <a:ext cx="0" cy="3489843"/>
                          </a:xfrm>
                          <a:prstGeom prst="line">
                            <a:avLst/>
                          </a:prstGeom>
                          <a:solidFill>
                            <a:schemeClr val="accent1"/>
                          </a:solidFill>
                          <a:ln w="9525" cap="flat" cmpd="sng" algn="ctr">
                            <a:solidFill>
                              <a:schemeClr val="tx1"/>
                            </a:solidFill>
                            <a:prstDash val="solid"/>
                            <a:round/>
                            <a:headEnd type="none" w="med" len="med"/>
                            <a:tailEnd type="none" w="med" len="med"/>
                          </a:ln>
                        </wps:spPr>
                        <wps:bodyPr/>
                      </wps:wsp>
                      <wps:wsp>
                        <wps:cNvPr id="35" name="直接连接符 35"/>
                        <wps:cNvCnPr/>
                        <wps:spPr bwMode="auto">
                          <a:xfrm>
                            <a:off x="3758242" y="456398"/>
                            <a:ext cx="0" cy="919171"/>
                          </a:xfrm>
                          <a:prstGeom prst="line">
                            <a:avLst/>
                          </a:prstGeom>
                          <a:solidFill>
                            <a:schemeClr val="accent1"/>
                          </a:solidFill>
                          <a:ln w="9525" cap="flat" cmpd="sng" algn="ctr">
                            <a:solidFill>
                              <a:schemeClr val="tx1"/>
                            </a:solidFill>
                            <a:prstDash val="solid"/>
                            <a:round/>
                            <a:headEnd type="none" w="med" len="med"/>
                            <a:tailEnd type="none" w="med" len="med"/>
                          </a:ln>
                        </wps:spPr>
                        <wps:bodyPr/>
                      </wps:wsp>
                      <wps:wsp>
                        <wps:cNvPr id="36" name="直接箭头连接符 36"/>
                        <wps:cNvCnPr/>
                        <wps:spPr bwMode="auto">
                          <a:xfrm>
                            <a:off x="241540" y="999862"/>
                            <a:ext cx="3516702" cy="0"/>
                          </a:xfrm>
                          <a:prstGeom prst="straightConnector1">
                            <a:avLst/>
                          </a:prstGeom>
                          <a:solidFill>
                            <a:schemeClr val="accent1"/>
                          </a:solidFill>
                          <a:ln w="9525" cap="flat" cmpd="sng" algn="ctr">
                            <a:solidFill>
                              <a:schemeClr val="tx1"/>
                            </a:solidFill>
                            <a:prstDash val="solid"/>
                            <a:round/>
                            <a:headEnd type="none" w="med" len="med"/>
                            <a:tailEnd type="triangle"/>
                          </a:ln>
                        </wps:spPr>
                        <wps:bodyPr/>
                      </wps:wsp>
                      <wps:wsp>
                        <wps:cNvPr id="37" name="直接箭头连接符 37"/>
                        <wps:cNvCnPr/>
                        <wps:spPr bwMode="auto">
                          <a:xfrm flipH="1">
                            <a:off x="241540" y="1714057"/>
                            <a:ext cx="2839448" cy="0"/>
                          </a:xfrm>
                          <a:prstGeom prst="straightConnector1">
                            <a:avLst/>
                          </a:prstGeom>
                          <a:solidFill>
                            <a:schemeClr val="accent1"/>
                          </a:solidFill>
                          <a:ln w="9525" cap="flat" cmpd="sng" algn="ctr">
                            <a:solidFill>
                              <a:schemeClr val="tx1"/>
                            </a:solidFill>
                            <a:prstDash val="solid"/>
                            <a:round/>
                            <a:headEnd type="none" w="med" len="med"/>
                            <a:tailEnd type="triangle"/>
                          </a:ln>
                        </wps:spPr>
                        <wps:bodyPr/>
                      </wps:wsp>
                      <wps:wsp>
                        <wps:cNvPr id="38" name="文本框 9"/>
                        <wps:cNvSpPr txBox="1"/>
                        <wps:spPr>
                          <a:xfrm>
                            <a:off x="0" y="52678"/>
                            <a:ext cx="483234" cy="403712"/>
                          </a:xfrm>
                          <a:prstGeom prst="rect">
                            <a:avLst/>
                          </a:prstGeom>
                          <a:noFill/>
                        </wps:spPr>
                        <wps:txbx>
                          <w:txbxContent>
                            <w:p w14:paraId="08677CEC" w14:textId="77777777" w:rsidR="00CD70F0" w:rsidRDefault="000171A9">
                              <w:pPr>
                                <w:pStyle w:val="a6"/>
                                <w:spacing w:before="0" w:beforeAutospacing="0" w:after="0" w:afterAutospacing="0"/>
                                <w:textAlignment w:val="baseline"/>
                              </w:pPr>
                              <w:r>
                                <w:rPr>
                                  <w:rFonts w:ascii="Calibri" w:hAnsi="Calibri" w:cstheme="minorBidi"/>
                                  <w:color w:val="000000" w:themeColor="text1"/>
                                  <w:kern w:val="24"/>
                                </w:rPr>
                                <w:t>UE</w:t>
                              </w:r>
                            </w:p>
                          </w:txbxContent>
                        </wps:txbx>
                        <wps:bodyPr wrap="square" rtlCol="0">
                          <a:noAutofit/>
                        </wps:bodyPr>
                      </wps:wsp>
                      <wps:wsp>
                        <wps:cNvPr id="39" name="文本框 10"/>
                        <wps:cNvSpPr txBox="1"/>
                        <wps:spPr>
                          <a:xfrm>
                            <a:off x="3470192" y="52552"/>
                            <a:ext cx="712394" cy="403829"/>
                          </a:xfrm>
                          <a:prstGeom prst="rect">
                            <a:avLst/>
                          </a:prstGeom>
                          <a:noFill/>
                        </wps:spPr>
                        <wps:txbx>
                          <w:txbxContent>
                            <w:p w14:paraId="709E32AE" w14:textId="77777777" w:rsidR="00CD70F0" w:rsidRDefault="000171A9">
                              <w:pPr>
                                <w:pStyle w:val="a6"/>
                                <w:spacing w:before="0" w:beforeAutospacing="0" w:after="0" w:afterAutospacing="0"/>
                                <w:textAlignment w:val="baseline"/>
                              </w:pPr>
                              <w:r>
                                <w:rPr>
                                  <w:rFonts w:ascii="Calibri" w:hAnsi="Calibri" w:cstheme="minorBidi"/>
                                  <w:color w:val="000000" w:themeColor="text1"/>
                                  <w:kern w:val="24"/>
                                </w:rPr>
                                <w:t>gNB</w:t>
                              </w:r>
                            </w:p>
                          </w:txbxContent>
                        </wps:txbx>
                        <wps:bodyPr wrap="square" rtlCol="0">
                          <a:noAutofit/>
                        </wps:bodyPr>
                      </wps:wsp>
                      <wps:wsp>
                        <wps:cNvPr id="40" name="文本框 11"/>
                        <wps:cNvSpPr txBox="1"/>
                        <wps:spPr>
                          <a:xfrm>
                            <a:off x="432007" y="552684"/>
                            <a:ext cx="3089910" cy="433124"/>
                          </a:xfrm>
                          <a:prstGeom prst="rect">
                            <a:avLst/>
                          </a:prstGeom>
                          <a:noFill/>
                        </wps:spPr>
                        <wps:txbx>
                          <w:txbxContent>
                            <w:p w14:paraId="0B6C1BD3" w14:textId="77777777" w:rsidR="00CD70F0" w:rsidRDefault="000171A9">
                              <w:pPr>
                                <w:pStyle w:val="a6"/>
                                <w:spacing w:before="0" w:beforeAutospacing="0" w:after="0" w:afterAutospacing="0"/>
                                <w:textAlignment w:val="baseline"/>
                              </w:pPr>
                              <w:r>
                                <w:rPr>
                                  <w:rFonts w:ascii="Calibri" w:hAnsi="Calibri" w:cstheme="minorBidi"/>
                                  <w:color w:val="000000" w:themeColor="text1"/>
                                  <w:kern w:val="24"/>
                                </w:rPr>
                                <w:t>msgA: preamble + payload</w:t>
                              </w:r>
                            </w:p>
                          </w:txbxContent>
                        </wps:txbx>
                        <wps:bodyPr wrap="square" rtlCol="0">
                          <a:noAutofit/>
                        </wps:bodyPr>
                      </wps:wsp>
                      <wps:wsp>
                        <wps:cNvPr id="41" name="文本框 12"/>
                        <wps:cNvSpPr txBox="1"/>
                        <wps:spPr>
                          <a:xfrm>
                            <a:off x="483042" y="1276856"/>
                            <a:ext cx="738505" cy="367117"/>
                          </a:xfrm>
                          <a:prstGeom prst="rect">
                            <a:avLst/>
                          </a:prstGeom>
                          <a:noFill/>
                        </wps:spPr>
                        <wps:txbx>
                          <w:txbxContent>
                            <w:p w14:paraId="0580D0CC" w14:textId="77777777" w:rsidR="00CD70F0" w:rsidRDefault="000171A9">
                              <w:pPr>
                                <w:pStyle w:val="a6"/>
                                <w:spacing w:before="0" w:beforeAutospacing="0" w:after="0" w:afterAutospacing="0"/>
                                <w:textAlignment w:val="baseline"/>
                              </w:pPr>
                              <w:r>
                                <w:rPr>
                                  <w:rFonts w:ascii="Calibri" w:hAnsi="Calibri" w:cstheme="minorBidi"/>
                                  <w:color w:val="000000" w:themeColor="text1"/>
                                  <w:kern w:val="24"/>
                                </w:rPr>
                                <w:t>msgB</w:t>
                              </w:r>
                            </w:p>
                          </w:txbxContent>
                        </wps:txbx>
                        <wps:bodyPr wrap="square" rtlCol="0">
                          <a:noAutofit/>
                        </wps:bodyPr>
                      </wps:wsp>
                      <wps:wsp>
                        <wps:cNvPr id="42" name="文本框 13"/>
                        <wps:cNvSpPr txBox="1"/>
                        <wps:spPr>
                          <a:xfrm>
                            <a:off x="443148" y="1774025"/>
                            <a:ext cx="2796540" cy="413532"/>
                          </a:xfrm>
                          <a:prstGeom prst="rect">
                            <a:avLst/>
                          </a:prstGeom>
                          <a:noFill/>
                        </wps:spPr>
                        <wps:txbx>
                          <w:txbxContent>
                            <w:p w14:paraId="142A2E7F" w14:textId="77777777" w:rsidR="00CD70F0" w:rsidRDefault="000171A9">
                              <w:pPr>
                                <w:pStyle w:val="a6"/>
                                <w:spacing w:before="0" w:beforeAutospacing="0" w:after="0" w:afterAutospacing="0"/>
                                <w:textAlignment w:val="baseline"/>
                              </w:pPr>
                              <w:r>
                                <w:rPr>
                                  <w:rFonts w:ascii="Calibri" w:hAnsi="Calibri" w:cstheme="minorBidi"/>
                                  <w:color w:val="000000" w:themeColor="text1"/>
                                  <w:kern w:val="24"/>
                                </w:rPr>
                                <w:t>For contention resolution</w:t>
                              </w:r>
                            </w:p>
                          </w:txbxContent>
                        </wps:txbx>
                        <wps:bodyPr wrap="square" rtlCol="0">
                          <a:noAutofit/>
                        </wps:bodyPr>
                      </wps:wsp>
                      <wps:wsp>
                        <wps:cNvPr id="43" name="流程图: 决策 43"/>
                        <wps:cNvSpPr/>
                        <wps:spPr bwMode="auto">
                          <a:xfrm>
                            <a:off x="3080987" y="1374917"/>
                            <a:ext cx="1354510" cy="664234"/>
                          </a:xfrm>
                          <a:prstGeom prst="flowChartDecision">
                            <a:avLst/>
                          </a:prstGeom>
                          <a:noFill/>
                          <a:ln w="9525" cap="flat" cmpd="sng" algn="ctr">
                            <a:solidFill>
                              <a:schemeClr val="tx1"/>
                            </a:solidFill>
                            <a:prstDash val="solid"/>
                            <a:round/>
                            <a:headEnd type="none" w="med" len="med"/>
                            <a:tailEnd type="none" w="med" len="med"/>
                          </a:ln>
                        </wps:spPr>
                        <wps:txbx>
                          <w:txbxContent>
                            <w:p w14:paraId="4C3EF9A0" w14:textId="77777777" w:rsidR="00CD70F0" w:rsidRDefault="000171A9">
                              <w:pPr>
                                <w:pStyle w:val="a6"/>
                                <w:spacing w:before="0" w:beforeAutospacing="0" w:after="0" w:afterAutospacing="0"/>
                                <w:textAlignment w:val="baseline"/>
                                <w:rPr>
                                  <w:rFonts w:eastAsiaTheme="minorEastAsia"/>
                                  <w:sz w:val="20"/>
                                  <w:lang w:eastAsia="zh-CN"/>
                                </w:rPr>
                              </w:pPr>
                              <w:r>
                                <w:rPr>
                                  <w:rFonts w:eastAsiaTheme="minorEastAsia" w:hint="eastAsia"/>
                                  <w:sz w:val="20"/>
                                  <w:lang w:eastAsia="zh-CN"/>
                                </w:rPr>
                                <w:t xml:space="preserve"> </w:t>
                              </w:r>
                              <w:r>
                                <w:rPr>
                                  <w:rFonts w:eastAsiaTheme="minorEastAsia"/>
                                  <w:sz w:val="20"/>
                                  <w:lang w:eastAsia="zh-CN"/>
                                </w:rPr>
                                <w:t xml:space="preserve">         </w:t>
                              </w:r>
                            </w:p>
                          </w:txbxContent>
                        </wps:txbx>
                        <wps:bodyPr rot="0" spcFirstLastPara="0" vert="horz" wrap="square" lIns="91440" tIns="45720" rIns="91440" bIns="45720" numCol="1" spcCol="0" rtlCol="0" fromWordArt="0" anchor="t" anchorCtr="0" forceAA="0" compatLnSpc="1">
                          <a:noAutofit/>
                        </wps:bodyPr>
                      </wps:wsp>
                      <wps:wsp>
                        <wps:cNvPr id="44" name="直接连接符 44"/>
                        <wps:cNvCnPr/>
                        <wps:spPr bwMode="auto">
                          <a:xfrm flipH="1">
                            <a:off x="3758241" y="2039152"/>
                            <a:ext cx="2" cy="1769066"/>
                          </a:xfrm>
                          <a:prstGeom prst="line">
                            <a:avLst/>
                          </a:prstGeom>
                          <a:solidFill>
                            <a:schemeClr val="accent1"/>
                          </a:solidFill>
                          <a:ln w="9525" cap="flat" cmpd="sng" algn="ctr">
                            <a:solidFill>
                              <a:schemeClr val="tx1"/>
                            </a:solidFill>
                            <a:prstDash val="solid"/>
                            <a:round/>
                            <a:headEnd type="none" w="med" len="med"/>
                            <a:tailEnd type="none" w="med" len="med"/>
                          </a:ln>
                        </wps:spPr>
                        <wps:bodyPr/>
                      </wps:wsp>
                      <wps:wsp>
                        <wps:cNvPr id="45" name="直接连接符 45"/>
                        <wps:cNvCnPr/>
                        <wps:spPr bwMode="auto">
                          <a:xfrm>
                            <a:off x="6958642" y="456401"/>
                            <a:ext cx="0" cy="3489843"/>
                          </a:xfrm>
                          <a:prstGeom prst="line">
                            <a:avLst/>
                          </a:prstGeom>
                          <a:solidFill>
                            <a:schemeClr val="accent1"/>
                          </a:solidFill>
                          <a:ln w="9525" cap="flat" cmpd="sng" algn="ctr">
                            <a:solidFill>
                              <a:schemeClr val="tx1"/>
                            </a:solidFill>
                            <a:prstDash val="solid"/>
                            <a:round/>
                            <a:headEnd type="none" w="med" len="med"/>
                            <a:tailEnd type="none" w="med" len="med"/>
                          </a:ln>
                        </wps:spPr>
                        <wps:bodyPr/>
                      </wps:wsp>
                      <wps:wsp>
                        <wps:cNvPr id="46" name="文本框 22"/>
                        <wps:cNvSpPr txBox="1"/>
                        <wps:spPr>
                          <a:xfrm>
                            <a:off x="6716359" y="81478"/>
                            <a:ext cx="483234" cy="350399"/>
                          </a:xfrm>
                          <a:prstGeom prst="rect">
                            <a:avLst/>
                          </a:prstGeom>
                          <a:noFill/>
                        </wps:spPr>
                        <wps:txbx>
                          <w:txbxContent>
                            <w:p w14:paraId="13AFE750" w14:textId="77777777" w:rsidR="00CD70F0" w:rsidRDefault="000171A9">
                              <w:pPr>
                                <w:pStyle w:val="a6"/>
                                <w:spacing w:before="0" w:beforeAutospacing="0" w:after="0" w:afterAutospacing="0"/>
                                <w:textAlignment w:val="baseline"/>
                              </w:pPr>
                              <w:r>
                                <w:rPr>
                                  <w:rFonts w:ascii="Calibri" w:hAnsi="Calibri" w:cstheme="minorBidi"/>
                                  <w:color w:val="000000" w:themeColor="text1"/>
                                  <w:kern w:val="24"/>
                                </w:rPr>
                                <w:t>UE</w:t>
                              </w:r>
                            </w:p>
                          </w:txbxContent>
                        </wps:txbx>
                        <wps:bodyPr wrap="square" rtlCol="0">
                          <a:noAutofit/>
                        </wps:bodyPr>
                      </wps:wsp>
                      <wps:wsp>
                        <wps:cNvPr id="47" name="直接箭头连接符 47"/>
                        <wps:cNvCnPr/>
                        <wps:spPr bwMode="auto">
                          <a:xfrm>
                            <a:off x="4435497" y="1712979"/>
                            <a:ext cx="2523145" cy="0"/>
                          </a:xfrm>
                          <a:prstGeom prst="straightConnector1">
                            <a:avLst/>
                          </a:prstGeom>
                          <a:solidFill>
                            <a:schemeClr val="accent1"/>
                          </a:solidFill>
                          <a:ln w="9525" cap="flat" cmpd="sng" algn="ctr">
                            <a:solidFill>
                              <a:schemeClr val="tx1"/>
                            </a:solidFill>
                            <a:prstDash val="solid"/>
                            <a:round/>
                            <a:headEnd type="none" w="med" len="med"/>
                            <a:tailEnd type="triangle"/>
                          </a:ln>
                        </wps:spPr>
                        <wps:bodyPr/>
                      </wps:wsp>
                      <wps:wsp>
                        <wps:cNvPr id="48" name="文本框 19"/>
                        <wps:cNvSpPr txBox="1"/>
                        <wps:spPr>
                          <a:xfrm>
                            <a:off x="3998847" y="1210566"/>
                            <a:ext cx="534035" cy="347956"/>
                          </a:xfrm>
                          <a:prstGeom prst="rect">
                            <a:avLst/>
                          </a:prstGeom>
                          <a:noFill/>
                        </wps:spPr>
                        <wps:txbx>
                          <w:txbxContent>
                            <w:p w14:paraId="72CEFCB0" w14:textId="77777777" w:rsidR="00CD70F0" w:rsidRDefault="000171A9">
                              <w:pPr>
                                <w:pStyle w:val="a6"/>
                                <w:spacing w:before="0" w:beforeAutospacing="0" w:after="0" w:afterAutospacing="0"/>
                                <w:textAlignment w:val="baseline"/>
                              </w:pPr>
                              <w:r>
                                <w:rPr>
                                  <w:rFonts w:ascii="Calibri" w:hAnsi="Calibri" w:cstheme="minorBidi"/>
                                  <w:color w:val="000000" w:themeColor="text1"/>
                                  <w:kern w:val="24"/>
                                </w:rPr>
                                <w:t>NO</w:t>
                              </w:r>
                            </w:p>
                          </w:txbxContent>
                        </wps:txbx>
                        <wps:bodyPr wrap="square" rtlCol="0">
                          <a:noAutofit/>
                        </wps:bodyPr>
                      </wps:wsp>
                      <wps:wsp>
                        <wps:cNvPr id="49" name="文本框 26"/>
                        <wps:cNvSpPr txBox="1"/>
                        <wps:spPr>
                          <a:xfrm>
                            <a:off x="3080897" y="1202223"/>
                            <a:ext cx="528320" cy="356294"/>
                          </a:xfrm>
                          <a:prstGeom prst="rect">
                            <a:avLst/>
                          </a:prstGeom>
                          <a:noFill/>
                        </wps:spPr>
                        <wps:txbx>
                          <w:txbxContent>
                            <w:p w14:paraId="615C1C3A" w14:textId="77777777" w:rsidR="00CD70F0" w:rsidRDefault="000171A9">
                              <w:pPr>
                                <w:pStyle w:val="a6"/>
                                <w:spacing w:before="0" w:beforeAutospacing="0" w:after="0" w:afterAutospacing="0"/>
                                <w:textAlignment w:val="baseline"/>
                              </w:pPr>
                              <w:r>
                                <w:rPr>
                                  <w:rFonts w:ascii="Calibri" w:hAnsi="Calibri" w:cstheme="minorBidi"/>
                                  <w:color w:val="000000" w:themeColor="text1"/>
                                  <w:kern w:val="24"/>
                                </w:rPr>
                                <w:t>Yes</w:t>
                              </w:r>
                            </w:p>
                          </w:txbxContent>
                        </wps:txbx>
                        <wps:bodyPr wrap="square" rtlCol="0">
                          <a:noAutofit/>
                        </wps:bodyPr>
                      </wps:wsp>
                      <wps:wsp>
                        <wps:cNvPr id="50" name="文本框 27"/>
                        <wps:cNvSpPr txBox="1"/>
                        <wps:spPr>
                          <a:xfrm>
                            <a:off x="5515373" y="1247909"/>
                            <a:ext cx="902712" cy="385353"/>
                          </a:xfrm>
                          <a:prstGeom prst="rect">
                            <a:avLst/>
                          </a:prstGeom>
                          <a:noFill/>
                        </wps:spPr>
                        <wps:txbx>
                          <w:txbxContent>
                            <w:p w14:paraId="131C99E1" w14:textId="77777777" w:rsidR="00CD70F0" w:rsidRDefault="000171A9">
                              <w:pPr>
                                <w:pStyle w:val="a6"/>
                                <w:spacing w:before="0" w:beforeAutospacing="0" w:after="0" w:afterAutospacing="0"/>
                                <w:textAlignment w:val="baseline"/>
                              </w:pPr>
                              <w:r>
                                <w:rPr>
                                  <w:rFonts w:ascii="Calibri" w:hAnsi="Calibri" w:cstheme="minorBidi"/>
                                  <w:color w:val="000000" w:themeColor="text1"/>
                                  <w:kern w:val="24"/>
                                </w:rPr>
                                <w:t>msg2</w:t>
                              </w:r>
                            </w:p>
                          </w:txbxContent>
                        </wps:txbx>
                        <wps:bodyPr wrap="square" rtlCol="0">
                          <a:noAutofit/>
                        </wps:bodyPr>
                      </wps:wsp>
                      <wps:wsp>
                        <wps:cNvPr id="51" name="直接箭头连接符 51"/>
                        <wps:cNvCnPr/>
                        <wps:spPr bwMode="auto">
                          <a:xfrm flipH="1">
                            <a:off x="3758241" y="2626399"/>
                            <a:ext cx="3200401" cy="0"/>
                          </a:xfrm>
                          <a:prstGeom prst="straightConnector1">
                            <a:avLst/>
                          </a:prstGeom>
                          <a:solidFill>
                            <a:schemeClr val="accent1"/>
                          </a:solidFill>
                          <a:ln w="9525" cap="flat" cmpd="sng" algn="ctr">
                            <a:solidFill>
                              <a:schemeClr val="tx1"/>
                            </a:solidFill>
                            <a:prstDash val="solid"/>
                            <a:round/>
                            <a:headEnd type="none" w="med" len="med"/>
                            <a:tailEnd type="triangle"/>
                          </a:ln>
                        </wps:spPr>
                        <wps:bodyPr/>
                      </wps:wsp>
                      <wps:wsp>
                        <wps:cNvPr id="52" name="直接箭头连接符 52"/>
                        <wps:cNvCnPr/>
                        <wps:spPr bwMode="auto">
                          <a:xfrm>
                            <a:off x="3758243" y="3445909"/>
                            <a:ext cx="3200399" cy="0"/>
                          </a:xfrm>
                          <a:prstGeom prst="straightConnector1">
                            <a:avLst/>
                          </a:prstGeom>
                          <a:solidFill>
                            <a:schemeClr val="accent1"/>
                          </a:solidFill>
                          <a:ln w="9525" cap="flat" cmpd="sng" algn="ctr">
                            <a:solidFill>
                              <a:schemeClr val="tx1"/>
                            </a:solidFill>
                            <a:prstDash val="solid"/>
                            <a:round/>
                            <a:headEnd type="none" w="med" len="med"/>
                            <a:tailEnd type="triangle"/>
                          </a:ln>
                        </wps:spPr>
                        <wps:bodyPr/>
                      </wps:wsp>
                      <wps:wsp>
                        <wps:cNvPr id="53" name="文本框 33"/>
                        <wps:cNvSpPr txBox="1"/>
                        <wps:spPr>
                          <a:xfrm>
                            <a:off x="4713683" y="2266905"/>
                            <a:ext cx="2202816" cy="380694"/>
                          </a:xfrm>
                          <a:prstGeom prst="rect">
                            <a:avLst/>
                          </a:prstGeom>
                          <a:noFill/>
                        </wps:spPr>
                        <wps:txbx>
                          <w:txbxContent>
                            <w:p w14:paraId="3D847F39" w14:textId="2353C167" w:rsidR="00CD70F0" w:rsidRDefault="000171A9">
                              <w:pPr>
                                <w:pStyle w:val="a6"/>
                                <w:spacing w:before="0" w:beforeAutospacing="0" w:after="0" w:afterAutospacing="0"/>
                                <w:textAlignment w:val="baseline"/>
                              </w:pPr>
                              <w:r>
                                <w:rPr>
                                  <w:rFonts w:ascii="Calibri" w:hAnsi="Calibri" w:cstheme="minorBidi"/>
                                  <w:color w:val="000000" w:themeColor="text1"/>
                                  <w:kern w:val="24"/>
                                </w:rPr>
                                <w:t>PUSCH grant</w:t>
                              </w:r>
                              <w:r w:rsidR="00CE01CD">
                                <w:rPr>
                                  <w:rFonts w:ascii="Calibri" w:hAnsi="Calibri" w:cstheme="minorBidi"/>
                                  <w:color w:val="000000" w:themeColor="text1"/>
                                  <w:kern w:val="24"/>
                                </w:rPr>
                                <w:t>ed</w:t>
                              </w:r>
                              <w:r>
                                <w:rPr>
                                  <w:rFonts w:ascii="Calibri" w:hAnsi="Calibri" w:cstheme="minorBidi"/>
                                  <w:color w:val="000000" w:themeColor="text1"/>
                                  <w:kern w:val="24"/>
                                </w:rPr>
                                <w:t xml:space="preserve"> by RAR</w:t>
                              </w:r>
                            </w:p>
                          </w:txbxContent>
                        </wps:txbx>
                        <wps:bodyPr wrap="square" rtlCol="0">
                          <a:noAutofit/>
                        </wps:bodyPr>
                      </wps:wsp>
                      <wps:wsp>
                        <wps:cNvPr id="54" name="文本框 34"/>
                        <wps:cNvSpPr txBox="1"/>
                        <wps:spPr>
                          <a:xfrm>
                            <a:off x="4671870" y="3076046"/>
                            <a:ext cx="2440940" cy="341423"/>
                          </a:xfrm>
                          <a:prstGeom prst="rect">
                            <a:avLst/>
                          </a:prstGeom>
                          <a:noFill/>
                        </wps:spPr>
                        <wps:txbx>
                          <w:txbxContent>
                            <w:p w14:paraId="32A38587" w14:textId="77777777" w:rsidR="00CD70F0" w:rsidRDefault="000171A9">
                              <w:pPr>
                                <w:pStyle w:val="a6"/>
                                <w:spacing w:before="0" w:beforeAutospacing="0" w:after="0" w:afterAutospacing="0"/>
                                <w:textAlignment w:val="baseline"/>
                              </w:pPr>
                              <w:r>
                                <w:rPr>
                                  <w:rFonts w:ascii="Calibri" w:hAnsi="Calibri" w:cstheme="minorBidi"/>
                                  <w:color w:val="000000" w:themeColor="text1"/>
                                  <w:kern w:val="24"/>
                                </w:rPr>
                                <w:t>contention resolution</w:t>
                              </w:r>
                            </w:p>
                          </w:txbxContent>
                        </wps:txbx>
                        <wps:bodyPr wrap="square" rtlCol="0">
                          <a:noAutofit/>
                        </wps:bodyPr>
                      </wps:wsp>
                      <wps:wsp>
                        <wps:cNvPr id="56" name="文本框 12"/>
                        <wps:cNvSpPr txBox="1"/>
                        <wps:spPr>
                          <a:xfrm>
                            <a:off x="3141839" y="1511175"/>
                            <a:ext cx="1293656" cy="367117"/>
                          </a:xfrm>
                          <a:prstGeom prst="rect">
                            <a:avLst/>
                          </a:prstGeom>
                          <a:noFill/>
                        </wps:spPr>
                        <wps:txbx>
                          <w:txbxContent>
                            <w:p w14:paraId="01BBFEF2" w14:textId="77777777" w:rsidR="00CD70F0" w:rsidRDefault="000171A9">
                              <w:pPr>
                                <w:pStyle w:val="a6"/>
                                <w:spacing w:before="0" w:beforeAutospacing="0" w:after="0" w:afterAutospacing="0"/>
                                <w:textAlignment w:val="baseline"/>
                                <w:rPr>
                                  <w:sz w:val="16"/>
                                </w:rPr>
                              </w:pPr>
                              <w:r>
                                <w:rPr>
                                  <w:rFonts w:ascii="Calibri" w:hAnsi="Calibri" w:cstheme="minorBidi"/>
                                  <w:color w:val="000000" w:themeColor="text1"/>
                                  <w:kern w:val="24"/>
                                  <w:sz w:val="16"/>
                                </w:rPr>
                                <w:t>Payload detected</w:t>
                              </w:r>
                            </w:p>
                          </w:txbxContent>
                        </wps:txbx>
                        <wps:bodyPr wrap="square" rtlCol="0">
                          <a:noAutofit/>
                        </wps:bodyPr>
                      </wps:wsp>
                    </wpg:wgp>
                  </a:graphicData>
                </a:graphic>
              </wp:inline>
            </w:drawing>
          </mc:Choice>
          <mc:Fallback>
            <w:pict>
              <v:group id="组合 30" o:spid="_x0000_s1026" style="width:418.05pt;height:222.8pt;mso-position-horizontal-relative:char;mso-position-vertical-relative:line" coordorigin=",525" coordsize="71995,38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xHJZQcAAH4uAAAOAAAAZHJzL2Uyb0RvYy54bWzsWktv3FQY3SPxHyzv6fi+/Bh1UoWkLUgF&#10;KhXE+sbjmbHksY3tZBJ2SKggISFW3RQhIQFi0bKhrJDg1yThZ3Du9WseSZNJmCoTZpOMff2493ue&#10;c67v3jscR8ZBkOVhEvdMcscyjSD2k34YD3vmJx8/eMc1jbyQcV9GSRz0zKMgN+9tvf3W3UnaDWgy&#10;SqJ+kBl4SJx3J2nPHBVF2u10cn8UjGV+J0mDGIODJBvLAofZsNPP5ARPH0cdall2Z5Jk/TRL/CDP&#10;cXa3HDS39PMHg8AvPhoM8qAwop6JuRX6b6b/7qm/na27sjvMZDoK/Woa8gqzGMswxkubR+3KQhr7&#10;WbjwqHHoZ0meDIo7fjLuJINB6Ad6DVgNseZW8zBL9lO9lmF3MkwbM8G0c3a68mP9Dw8eZ0bY75mM&#10;mUYsx/DR6Z9fHn/3tcG0dSbpsIuLHmbpk/RxBnOpE8PySC34cJCN1X8sxTjUdj1q7BocFoaPk4JZ&#10;HuWOafgYoy6zLEpKy/sjuKe9T1AhaD1yv7rbIZ4nPMxO3c1cj9mevqZTv7wzM6VJikjKW2Pl1zPW&#10;k5FMA+2DXNmhNhZvjPX81cm3P//z9w/4e/riF4NxNX81CVy9E1cmy7s5rGfsTT5I+rCw3C8SHS5z&#10;1qOcCI4wxUK5sJnnlrao7YgRbQPuei5naqyxgeymWV48DJKxoX70zCiM1bRlVx48yovy0voSdTpP&#10;orD/IIwifaDSLdiJMuNAIlGk7wdxoV2EF8xcGcXGpGd6cBTmIpGwg0gW+DlOEUJ5PDQNGQ1RCfwi&#10;02+fuVlndfua4vDMV6hZ7sp8VM5FP6A0A7Ih7mMlsjsKZP9+3DeKoxTWjFFZTDWtcdA3jSjA69Uv&#10;fWUhw+gyV2KdUQx7KscpV5Uu3Ev6R9qD+jyiqjy9+vCCdatcnA8vodZ1xfBijnAppxfFl0c84tSu&#10;qSO0jp1NeN2C8LJnw+v0t5fHP72aqmH2NYJsqoZ5nufaVT2vaxgTxHYsxKCqZLrDnF/D8iKT4XBU&#10;7CRxjE6eZGRT0bqzFa3IQhkPo0A57IbVMPT76Rq2EGTOskFmDKIwfQ8oU0dBBTimwg1Fi1tCP1Z2&#10;63gD3PA4BwrdxJvsXr+D3uB4g4/LeDt59tXJ9y9OfnxqeFMhpuCrURy+mwCQ6ubWtvoaSM6hWEFt&#10;Zw6BcZdRIDwdTNxiDplFogsoLEPZel3NihMFwVTutrNRv4rDvcOqz5cYxJiAowBhfbYvM4CdrIh2&#10;Ek1pFByKk20AykGoYZ66vbyneuobhC3eogtIxSI0Hl7GB4w7FgHSV2B4ihfUeQ3TI7EbT7hU+/r8&#10;XnIdT2h+1MTMGjlEcYn5nCDNQkBQlnEIZyDcKOrKH0gNVxOdttAyy/U8eLvMDcYI1Res0CM699pw&#10;X4sU4eQMjzQLWdYjoNIVnCfUsV2hcVvrEoe5wlJEDS5jtkOI7o0r9IjmpOvmEZSYhRxpFrKsRzgj&#10;CmzA4MRxuAWajDLeeoQ6nq0ZvnIJJ0ywFTYQXbYaOWKdylYjRZ388cXpr98cP/+raxw//f305TOj&#10;1D1UjFWuqdqkIu0X6iuoUZbnljWMMIeD5876Bx7hoi5its1Vs1fduUUIczx4ECWTnZHMit3AD5UI&#10;eqlur8SG/5OOouCMjsZGvaiiMUtKRTZP/QchdJ9HMi8eywwSLBoJZGWMjpLsc6g7M/Anej+GrOcR&#10;rhpcoQ+4cCgOsumRvemReH+sIRMKMN5WoacpIGUMsmT8KdTkbfVWPErGPt7dMyFvlT93ilI4hhrt&#10;B9vb+iKouKksHsVPUr8mJjcFjXGgo2kC1vJ7jFRZgxy6lEZ5JvUq5STYE7WMWswjtXZbY7SK5RPH&#10;9ixb96bzE2mjV+pGMcvuz1c2YcgbpFfyc/VKjCwZaqpdVtze9oSLGqwDDHo4tzR0bbspklRDm40e&#10;fsv1cN4Ili23p1dFzQDCNhOgqihbLuGvo/hMoKytmlg2Yus6IbQLxD1s9l097TkHCvMqlAae7zna&#10;BW3eU0EBsytis9GQr7srdnM1PUWlFrjZVUU9ZLLrql1oRc4osUQJSdqwEgySXk2XueOVdPp8yHJt&#10;SalJknXK/DM0PtqUsCXpsuJjbp3p1KKUauI95RLI9wrW6zYvbArFD3VlhS7Reu+aKRgCBprPEtrE&#10;1pIuEYII5oCA6yxBFlhzxdezqJK9S5e4AhLGil3S5PsaZYloZL5TvYE/v/mF8SX748UMzKb4YmTO&#10;WUqyVbBZe2vTKW9vpwT1niH7CwE3jZYvRfmneFhJ9MuawDgXCzVBhZmKvU2Ygbze5k1WFPuFVoMP&#10;B9tattSGkkOY7ZZhRakNkWheLQckcAm4n27/rmWvvP23u5Xr1Gwaoa9lxzOfIS7lFNBj1wGiQP9n&#10;lmNb4N5wbwvJKERXT+mupfRCoJGvGAC0O5br5JQzJIvya4GpvYvLfo8AtkvwHUsJygTBRt5cpoAk&#10;Mxt8pXTKm9jqa9fy3zhFf8SLj5w1uq8+yFZfUU8f4/f0Z+Nb/wIAAP//AwBQSwMEFAAGAAgAAAAh&#10;AGsgX27dAAAABQEAAA8AAABkcnMvZG93bnJldi54bWxMj81qwzAQhO+FvoPYQm6N7PyY4FoOISQ9&#10;hUKTQultY21sE2tlLMV23r5qL+1lYZhh5ttsPZpG9NS52rKCeBqBIC6srrlU8HHaP69AOI+ssbFM&#10;Cu7kYJ0/PmSYajvwO/VHX4pQwi5FBZX3bSqlKyoy6Ka2JQ7exXYGfZBdKXWHQyg3jZxFUSIN1hwW&#10;KmxpW1FxPd6MgtcBh8083vWH62V7/zot3z4PMSk1eRo3LyA8jf4vDD/4AR3ywHS2N9ZONArCI/73&#10;Bm81T2IQZwWLxTIBmWfyP33+DQAA//8DAFBLAQItABQABgAIAAAAIQC2gziS/gAAAOEBAAATAAAA&#10;AAAAAAAAAAAAAAAAAABbQ29udGVudF9UeXBlc10ueG1sUEsBAi0AFAAGAAgAAAAhADj9If/WAAAA&#10;lAEAAAsAAAAAAAAAAAAAAAAALwEAAF9yZWxzLy5yZWxzUEsBAi0AFAAGAAgAAAAhAMXvEcllBwAA&#10;fi4AAA4AAAAAAAAAAAAAAAAALgIAAGRycy9lMm9Eb2MueG1sUEsBAi0AFAAGAAgAAAAhAGsgX27d&#10;AAAABQEAAA8AAAAAAAAAAAAAAAAAvwkAAGRycy9kb3ducmV2LnhtbFBLBQYAAAAABAAEAPMAAADJ&#10;CgAAAAA=&#10;">
                <v:line id="直接连接符 34" o:spid="_x0000_s1027" style="position:absolute;visibility:visible;mso-wrap-style:square" from="2415,4563" to="2415,394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3m88UAAADbAAAADwAAAGRycy9kb3ducmV2LnhtbESPQWvCQBSE7wX/w/KE3urGViRGVymW&#10;QqFeao3i7ZF9JsHs27C7mvjv3YLQ4zAz3zCLVW8acSXna8sKxqMEBHFhdc2lgt3v50sKwgdkjY1l&#10;UnAjD6vl4GmBmbYd/9B1G0oRIewzVFCF0GZS+qIig35kW+LonawzGKJ0pdQOuwg3jXxNkqk0WHNc&#10;qLCldUXFeXsxCsp849JDfvs4zr7Tfb7uiks4bpR6HvbvcxCB+vAffrS/tIK3Cfx9iT9AL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X3m88UAAADbAAAADwAAAAAAAAAA&#10;AAAAAAChAgAAZHJzL2Rvd25yZXYueG1sUEsFBgAAAAAEAAQA+QAAAJMDAAAAAA==&#10;" filled="t" fillcolor="#4f81bd [3204]" strokecolor="black [3213]"/>
                <v:line id="直接连接符 35" o:spid="_x0000_s1028" style="position:absolute;visibility:visible;mso-wrap-style:square" from="37582,4563" to="37582,137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FDaMUAAADbAAAADwAAAGRycy9kb3ducmV2LnhtbESPQWvCQBSE7wX/w/KE3urGFiVGVymW&#10;QqFeao3i7ZF9JsHs27C7mvjv3YLQ4zAz3zCLVW8acSXna8sKxqMEBHFhdc2lgt3v50sKwgdkjY1l&#10;UnAjD6vl4GmBmbYd/9B1G0oRIewzVFCF0GZS+qIig35kW+LonawzGKJ0pdQOuwg3jXxNkqk0WHNc&#10;qLCldUXFeXsxCsp849JDfvs4zr7Tfb7uiks4bpR6HvbvcxCB+vAffrS/tIK3Cfx9iT9AL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jFDaMUAAADbAAAADwAAAAAAAAAA&#10;AAAAAAChAgAAZHJzL2Rvd25yZXYueG1sUEsFBgAAAAAEAAQA+QAAAJMDAAAAAA==&#10;" filled="t" fillcolor="#4f81bd [3204]" strokecolor="black [3213]"/>
                <v:shapetype id="_x0000_t32" coordsize="21600,21600" o:spt="32" o:oned="t" path="m,l21600,21600e" filled="f">
                  <v:path arrowok="t" fillok="f" o:connecttype="none"/>
                  <o:lock v:ext="edit" shapetype="t"/>
                </v:shapetype>
                <v:shape id="直接箭头连接符 36" o:spid="_x0000_s1029" type="#_x0000_t32" style="position:absolute;left:2415;top:9998;width:351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8q0sUAAADbAAAADwAAAGRycy9kb3ducmV2LnhtbESPX2vCQBDE3wt+h2MLfSl1o4JK6ikq&#10;KFKhf9QX35bcmgRzeyF3jem37xWEPg4z8xtmtuhspVpufOlEw6CfgGLJnCkl13A6bl6moHwgMVQ5&#10;YQ0/7GEx7z3MKDXuJl/cHkKuIkR8ShqKEOoU0WcFW/J9V7NE7+IaSyHKJkfT0C3CbYXDJBmjpVLi&#10;QkE1rwvOrodvq2FFJzxPP7Pnt4m9TN7bEW4/9qj102O3fAUVuAv/4Xt7ZzSMxvD3Jf4An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F8q0sUAAADbAAAADwAAAAAAAAAA&#10;AAAAAAChAgAAZHJzL2Rvd25yZXYueG1sUEsFBgAAAAAEAAQA+QAAAJMDAAAAAA==&#10;" filled="t" fillcolor="#4f81bd [3204]" strokecolor="black [3213]">
                  <v:stroke endarrow="block"/>
                </v:shape>
                <v:shape id="直接箭头连接符 37" o:spid="_x0000_s1030" type="#_x0000_t32" style="position:absolute;left:2415;top:17140;width:2839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hZYcQAAADbAAAADwAAAGRycy9kb3ducmV2LnhtbESPQWsCMRSE74X+h/AEbzWrBSurUUqh&#10;tCe1rqDeXjevm6WblyWJ6/bfN4LgcZiZb5jFqreN6MiH2rGC8SgDQVw6XXOlYF+8P81AhIissXFM&#10;Cv4owGr5+LDAXLsLf1G3i5VIEA45KjAxtrmUoTRkMYxcS5y8H+ctxiR9JbXHS4LbRk6ybCot1pwW&#10;DLb0Zqj83Z2tgtNm1lHYHjamOJ4m39nax+LDKzUc9K9zEJH6eA/f2p9awfMLXL+kH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SFlhxAAAANsAAAAPAAAAAAAAAAAA&#10;AAAAAKECAABkcnMvZG93bnJldi54bWxQSwUGAAAAAAQABAD5AAAAkgMAAAAA&#10;" filled="t" fillcolor="#4f81bd [3204]" strokecolor="black [3213]">
                  <v:stroke endarrow="block"/>
                </v:shape>
                <v:shapetype id="_x0000_t202" coordsize="21600,21600" o:spt="202" path="m,l,21600r21600,l21600,xe">
                  <v:stroke joinstyle="miter"/>
                  <v:path gradientshapeok="t" o:connecttype="rect"/>
                </v:shapetype>
                <v:shape id="文本框 9" o:spid="_x0000_s1031" type="#_x0000_t202" style="position:absolute;top:526;width:4832;height:40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OFn8EA&#10;AADbAAAADwAAAGRycy9kb3ducmV2LnhtbERPW2vCMBR+H+w/hCPsbU28bMzOKEMZ7Emxm4Jvh+bY&#10;ljUnocls/ffmQdjjx3dfrAbbigt1oXGsYZwpEMSlMw1XGn6+P5/fQISIbLB1TBquFGC1fHxYYG5c&#10;z3u6FLESKYRDjhrqGH0uZShrshgy54kTd3adxZhgV0nTYZ/CbSsnSr1Kiw2nhho9rWsqf4s/q+Gw&#10;PZ+OM7WrNvbF925Qku1cav00Gj7eQUQa4r/47v4yGqZpbP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Z/BAAAA2wAAAA8AAAAAAAAAAAAAAAAAmAIAAGRycy9kb3du&#10;cmV2LnhtbFBLBQYAAAAABAAEAPUAAACGAwAAAAA=&#10;" filled="f" stroked="f">
                  <v:textbox>
                    <w:txbxContent>
                      <w:p w14:paraId="08677CEC" w14:textId="77777777" w:rsidR="00CD70F0" w:rsidRDefault="000171A9">
                        <w:pPr>
                          <w:pStyle w:val="a6"/>
                          <w:spacing w:before="0" w:beforeAutospacing="0" w:after="0" w:afterAutospacing="0"/>
                          <w:textAlignment w:val="baseline"/>
                        </w:pPr>
                        <w:r>
                          <w:rPr>
                            <w:rFonts w:ascii="Calibri" w:hAnsi="Calibri" w:cstheme="minorBidi"/>
                            <w:color w:val="000000" w:themeColor="text1"/>
                            <w:kern w:val="24"/>
                          </w:rPr>
                          <w:t>UE</w:t>
                        </w:r>
                      </w:p>
                    </w:txbxContent>
                  </v:textbox>
                </v:shape>
                <v:shape id="文本框 10" o:spid="_x0000_s1032" type="#_x0000_t202" style="position:absolute;left:34701;top:525;width:7124;height:40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8gBMIA&#10;AADbAAAADwAAAGRycy9kb3ducmV2LnhtbESPT4vCMBTE74LfITzB25qoq2g1iigLe1rxL3h7NM+2&#10;2LyUJmu7336zsOBxmJnfMMt1a0vxpNoXjjUMBwoEcepMwZmG8+njbQbCB2SDpWPS8EMe1qtuZ4mJ&#10;cQ0f6HkMmYgQ9glqyEOoEil9mpNFP3AVcfTurrYYoqwzaWpsItyWcqTUVFosOC7kWNE2p/Rx/LYa&#10;Ll/32/Vd7bOdnVSNa5VkO5da93vtZgEiUBte4f/2p9Ewns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yAEwgAAANsAAAAPAAAAAAAAAAAAAAAAAJgCAABkcnMvZG93&#10;bnJldi54bWxQSwUGAAAAAAQABAD1AAAAhwMAAAAA&#10;" filled="f" stroked="f">
                  <v:textbox>
                    <w:txbxContent>
                      <w:p w14:paraId="709E32AE" w14:textId="77777777" w:rsidR="00CD70F0" w:rsidRDefault="000171A9">
                        <w:pPr>
                          <w:pStyle w:val="a6"/>
                          <w:spacing w:before="0" w:beforeAutospacing="0" w:after="0" w:afterAutospacing="0"/>
                          <w:textAlignment w:val="baseline"/>
                        </w:pPr>
                        <w:r>
                          <w:rPr>
                            <w:rFonts w:ascii="Calibri" w:hAnsi="Calibri" w:cstheme="minorBidi"/>
                            <w:color w:val="000000" w:themeColor="text1"/>
                            <w:kern w:val="24"/>
                          </w:rPr>
                          <w:t>gNB</w:t>
                        </w:r>
                      </w:p>
                    </w:txbxContent>
                  </v:textbox>
                </v:shape>
                <v:shape id="文本框 11" o:spid="_x0000_s1033" type="#_x0000_t202" style="position:absolute;left:4320;top:5526;width:30899;height:43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65L4A&#10;AADbAAAADwAAAGRycy9kb3ducmV2LnhtbERPy4rCMBTdC/5DuII7TRxUtBpFRoRZOfgEd5fm2hab&#10;m9JE2/n7yUJweTjv5bq1pXhR7QvHGkZDBYI4dabgTMP5tBvMQPiAbLB0TBr+yMN61e0sMTGu4QO9&#10;jiETMYR9ghryEKpESp/mZNEPXUUcuburLYYI60yaGpsYbkv5pdRUWiw4NuRY0XdO6eP4tBou+/vt&#10;Ola/2dZOqsa1SrKdS637vXazABGoDR/x2/1jNIzj+v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z+uS+AAAA2wAAAA8AAAAAAAAAAAAAAAAAmAIAAGRycy9kb3ducmV2&#10;LnhtbFBLBQYAAAAABAAEAPUAAACDAwAAAAA=&#10;" filled="f" stroked="f">
                  <v:textbox>
                    <w:txbxContent>
                      <w:p w14:paraId="0B6C1BD3" w14:textId="77777777" w:rsidR="00CD70F0" w:rsidRDefault="000171A9">
                        <w:pPr>
                          <w:pStyle w:val="a6"/>
                          <w:spacing w:before="0" w:beforeAutospacing="0" w:after="0" w:afterAutospacing="0"/>
                          <w:textAlignment w:val="baseline"/>
                        </w:pPr>
                        <w:r>
                          <w:rPr>
                            <w:rFonts w:ascii="Calibri" w:hAnsi="Calibri" w:cstheme="minorBidi"/>
                            <w:color w:val="000000" w:themeColor="text1"/>
                            <w:kern w:val="24"/>
                          </w:rPr>
                          <w:t>msgA: preamble + payload</w:t>
                        </w:r>
                      </w:p>
                    </w:txbxContent>
                  </v:textbox>
                </v:shape>
                <v:shape id="文本框 12" o:spid="_x0000_s1034" type="#_x0000_t202" style="position:absolute;left:4830;top:12768;width:7385;height:36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14:paraId="0580D0CC" w14:textId="77777777" w:rsidR="00CD70F0" w:rsidRDefault="000171A9">
                        <w:pPr>
                          <w:pStyle w:val="a6"/>
                          <w:spacing w:before="0" w:beforeAutospacing="0" w:after="0" w:afterAutospacing="0"/>
                          <w:textAlignment w:val="baseline"/>
                        </w:pPr>
                        <w:r>
                          <w:rPr>
                            <w:rFonts w:ascii="Calibri" w:hAnsi="Calibri" w:cstheme="minorBidi"/>
                            <w:color w:val="000000" w:themeColor="text1"/>
                            <w:kern w:val="24"/>
                          </w:rPr>
                          <w:t>msgB</w:t>
                        </w:r>
                      </w:p>
                    </w:txbxContent>
                  </v:textbox>
                </v:shape>
                <v:shape id="文本框 13" o:spid="_x0000_s1035" type="#_x0000_t202" style="position:absolute;left:4431;top:17740;width:27965;height:41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14:paraId="142A2E7F" w14:textId="77777777" w:rsidR="00CD70F0" w:rsidRDefault="000171A9">
                        <w:pPr>
                          <w:pStyle w:val="a6"/>
                          <w:spacing w:before="0" w:beforeAutospacing="0" w:after="0" w:afterAutospacing="0"/>
                          <w:textAlignment w:val="baseline"/>
                        </w:pPr>
                        <w:r>
                          <w:rPr>
                            <w:rFonts w:ascii="Calibri" w:hAnsi="Calibri" w:cstheme="minorBidi"/>
                            <w:color w:val="000000" w:themeColor="text1"/>
                            <w:kern w:val="24"/>
                          </w:rPr>
                          <w:t>For contention resolution</w:t>
                        </w:r>
                      </w:p>
                    </w:txbxContent>
                  </v:textbox>
                </v:shape>
                <v:shapetype id="_x0000_t110" coordsize="21600,21600" o:spt="110" path="m10800,l,10800,10800,21600,21600,10800xe">
                  <v:stroke joinstyle="miter"/>
                  <v:path gradientshapeok="t" o:connecttype="rect" textboxrect="5400,5400,16200,16200"/>
                </v:shapetype>
                <v:shape id="流程图: 决策 43" o:spid="_x0000_s1036" type="#_x0000_t110" style="position:absolute;left:30809;top:13749;width:13545;height:66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hdd8UA&#10;AADbAAAADwAAAGRycy9kb3ducmV2LnhtbESPQWvCQBSE7wX/w/IEb3Wj1lRSVymiIHoy2kNvz+xr&#10;Ept9G7JbE/+9Kwg9DjPzDTNfdqYSV2pcaVnBaBiBIM6sLjlXcDpuXmcgnEfWWFkmBTdysFz0XuaY&#10;aNvyga6pz0WAsEtQQeF9nUjpsoIMuqGtiYP3YxuDPsgml7rBNsBNJcdRFEuDJYeFAmtaFZT9pn9G&#10;wdc6lZf2tq/P22Ocrt/ldHPafSs16HefHyA8df4//GxvtYK3CTy+hB8gF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uF13xQAAANsAAAAPAAAAAAAAAAAAAAAAAJgCAABkcnMv&#10;ZG93bnJldi54bWxQSwUGAAAAAAQABAD1AAAAigMAAAAA&#10;" filled="f" strokecolor="black [3213]">
                  <v:stroke joinstyle="round"/>
                  <v:textbox>
                    <w:txbxContent>
                      <w:p w14:paraId="4C3EF9A0" w14:textId="77777777" w:rsidR="00CD70F0" w:rsidRDefault="000171A9">
                        <w:pPr>
                          <w:pStyle w:val="a6"/>
                          <w:spacing w:before="0" w:beforeAutospacing="0" w:after="0" w:afterAutospacing="0"/>
                          <w:textAlignment w:val="baseline"/>
                          <w:rPr>
                            <w:rFonts w:eastAsiaTheme="minorEastAsia"/>
                            <w:sz w:val="20"/>
                            <w:lang w:eastAsia="zh-CN"/>
                          </w:rPr>
                        </w:pPr>
                        <w:r>
                          <w:rPr>
                            <w:rFonts w:eastAsiaTheme="minorEastAsia" w:hint="eastAsia"/>
                            <w:sz w:val="20"/>
                            <w:lang w:eastAsia="zh-CN"/>
                          </w:rPr>
                          <w:t xml:space="preserve"> </w:t>
                        </w:r>
                        <w:r>
                          <w:rPr>
                            <w:rFonts w:eastAsiaTheme="minorEastAsia"/>
                            <w:sz w:val="20"/>
                            <w:lang w:eastAsia="zh-CN"/>
                          </w:rPr>
                          <w:t xml:space="preserve">         </w:t>
                        </w:r>
                      </w:p>
                    </w:txbxContent>
                  </v:textbox>
                </v:shape>
                <v:line id="直接连接符 44" o:spid="_x0000_s1037" style="position:absolute;flip:x;visibility:visible;mso-wrap-style:square" from="37582,20391" to="37582,380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kg9sIAAADbAAAADwAAAGRycy9kb3ducmV2LnhtbESPX2vCMBTF3wW/Q7iCb5o6dUg1igwE&#10;H2TTOt8vzTUtNjelibb99stgsMfD+fPjbHadrcSLGl86VjCbJiCIc6dLNgq+r4fJCoQPyBorx6Sg&#10;Jw+77XCwwVS7li/0yoIRcYR9igqKEOpUSp8XZNFPXU0cvbtrLIYoGyN1g20ct5V8S5J3abHkSCiw&#10;po+C8kf2tBFy8dVybj7N1/lwzE5Xeev79qbUeNTt1yACdeE//Nc+agWLBfx+iT9Ab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ikg9sIAAADbAAAADwAAAAAAAAAAAAAA&#10;AAChAgAAZHJzL2Rvd25yZXYueG1sUEsFBgAAAAAEAAQA+QAAAJADAAAAAA==&#10;" filled="t" fillcolor="#4f81bd [3204]" strokecolor="black [3213]"/>
                <v:line id="直接连接符 45" o:spid="_x0000_s1038" style="position:absolute;visibility:visible;mso-wrap-style:square" from="69586,4564" to="69586,394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cwFcUAAADbAAAADwAAAGRycy9kb3ducmV2LnhtbESPQWvCQBSE7wX/w/KE3urGUiVGVymW&#10;QqFeao3i7ZF9JsHs27C7mvjv3YLQ4zAz3zCLVW8acSXna8sKxqMEBHFhdc2lgt3v50sKwgdkjY1l&#10;UnAjD6vl4GmBmbYd/9B1G0oRIewzVFCF0GZS+qIig35kW+LonawzGKJ0pdQOuwg3jXxNkqk0WHNc&#10;qLCldUXFeXsxCsp849JDfvs4zr7Tfb7uiks4bpR6HvbvcxCB+vAffrS/tIK3Cfx9iT9AL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jcwFcUAAADbAAAADwAAAAAAAAAA&#10;AAAAAAChAgAAZHJzL2Rvd25yZXYueG1sUEsFBgAAAAAEAAQA+QAAAJMDAAAAAA==&#10;" filled="t" fillcolor="#4f81bd [3204]" strokecolor="black [3213]"/>
                <v:shape id="文本框 22" o:spid="_x0000_s1039" type="#_x0000_t202" style="position:absolute;left:67163;top:814;width:4832;height:3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14:paraId="13AFE750" w14:textId="77777777" w:rsidR="00CD70F0" w:rsidRDefault="000171A9">
                        <w:pPr>
                          <w:pStyle w:val="a6"/>
                          <w:spacing w:before="0" w:beforeAutospacing="0" w:after="0" w:afterAutospacing="0"/>
                          <w:textAlignment w:val="baseline"/>
                        </w:pPr>
                        <w:r>
                          <w:rPr>
                            <w:rFonts w:ascii="Calibri" w:hAnsi="Calibri" w:cstheme="minorBidi"/>
                            <w:color w:val="000000" w:themeColor="text1"/>
                            <w:kern w:val="24"/>
                          </w:rPr>
                          <w:t>UE</w:t>
                        </w:r>
                      </w:p>
                    </w:txbxContent>
                  </v:textbox>
                </v:shape>
                <v:shape id="直接箭头连接符 47" o:spid="_x0000_s1040" type="#_x0000_t32" style="position:absolute;left:44354;top:17129;width:2523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X8NMYAAADbAAAADwAAAGRycy9kb3ducmV2LnhtbESPQWvCQBSE74L/YXkFL6W+1BYjqatU&#10;oaUo2NZ66e2RfSbB7NuQ3cb037uFgsdhZr5h5sve1qrj1ldONNyPE1AsuTOVFBoOXy93M1A+kBiq&#10;nbCGX/awXAwHc8qMO8snd/tQqAgRn5GGMoQmQ/R5yZb82DUs0Tu61lKIsi3QtHSOcFvjJEmmaKmS&#10;uFBSw+uS89P+x2pY0QG/Zx/57Sa1x3TXPeDr+xa1Ht30z0+gAvfhGv5vvxkNjyn8fYk/ABc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MV/DTGAAAA2wAAAA8AAAAAAAAA&#10;AAAAAAAAoQIAAGRycy9kb3ducmV2LnhtbFBLBQYAAAAABAAEAPkAAACUAwAAAAA=&#10;" filled="t" fillcolor="#4f81bd [3204]" strokecolor="black [3213]">
                  <v:stroke endarrow="block"/>
                </v:shape>
                <v:shape id="文本框 19" o:spid="_x0000_s1041" type="#_x0000_t202" style="position:absolute;left:39988;top:12105;width:5340;height:3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14:paraId="72CEFCB0" w14:textId="77777777" w:rsidR="00CD70F0" w:rsidRDefault="000171A9">
                        <w:pPr>
                          <w:pStyle w:val="a6"/>
                          <w:spacing w:before="0" w:beforeAutospacing="0" w:after="0" w:afterAutospacing="0"/>
                          <w:textAlignment w:val="baseline"/>
                        </w:pPr>
                        <w:r>
                          <w:rPr>
                            <w:rFonts w:ascii="Calibri" w:hAnsi="Calibri" w:cstheme="minorBidi"/>
                            <w:color w:val="000000" w:themeColor="text1"/>
                            <w:kern w:val="24"/>
                          </w:rPr>
                          <w:t>NO</w:t>
                        </w:r>
                      </w:p>
                    </w:txbxContent>
                  </v:textbox>
                </v:shape>
                <v:shape id="文本框 26" o:spid="_x0000_s1042" type="#_x0000_t202" style="position:absolute;left:30808;top:12022;width:5284;height:35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14:paraId="615C1C3A" w14:textId="77777777" w:rsidR="00CD70F0" w:rsidRDefault="000171A9">
                        <w:pPr>
                          <w:pStyle w:val="a6"/>
                          <w:spacing w:before="0" w:beforeAutospacing="0" w:after="0" w:afterAutospacing="0"/>
                          <w:textAlignment w:val="baseline"/>
                        </w:pPr>
                        <w:r>
                          <w:rPr>
                            <w:rFonts w:ascii="Calibri" w:hAnsi="Calibri" w:cstheme="minorBidi"/>
                            <w:color w:val="000000" w:themeColor="text1"/>
                            <w:kern w:val="24"/>
                          </w:rPr>
                          <w:t>Yes</w:t>
                        </w:r>
                      </w:p>
                    </w:txbxContent>
                  </v:textbox>
                </v:shape>
                <v:shape id="文本框 27" o:spid="_x0000_s1043" type="#_x0000_t202" style="position:absolute;left:55153;top:12479;width:9027;height:38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14:paraId="131C99E1" w14:textId="77777777" w:rsidR="00CD70F0" w:rsidRDefault="000171A9">
                        <w:pPr>
                          <w:pStyle w:val="a6"/>
                          <w:spacing w:before="0" w:beforeAutospacing="0" w:after="0" w:afterAutospacing="0"/>
                          <w:textAlignment w:val="baseline"/>
                        </w:pPr>
                        <w:r>
                          <w:rPr>
                            <w:rFonts w:ascii="Calibri" w:hAnsi="Calibri" w:cstheme="minorBidi"/>
                            <w:color w:val="000000" w:themeColor="text1"/>
                            <w:kern w:val="24"/>
                          </w:rPr>
                          <w:t>msg2</w:t>
                        </w:r>
                      </w:p>
                    </w:txbxContent>
                  </v:textbox>
                </v:shape>
                <v:shape id="直接箭头连接符 51" o:spid="_x0000_s1044" type="#_x0000_t32" style="position:absolute;left:37582;top:26263;width:3200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KBLsMAAADbAAAADwAAAGRycy9kb3ducmV2LnhtbESPQWsCMRSE74L/ITyhN80qVGQ1SimI&#10;PVXrCq235+Z1s3TzsiTpuv33jSB4HGbmG2a16W0jOvKhdqxgOslAEJdO11wpOBXb8QJEiMgaG8ek&#10;4I8CbNbDwQpz7a78Qd0xViJBOOSowMTY5lKG0pDFMHEtcfK+nbcYk/SV1B6vCW4bOcuyubRYc1ow&#10;2NKrofLn+GsVnPeLjsLhc2+Kr/Pskr37WOy8Uk+j/mUJIlIfH+F7+00reJ7C7Uv6AXL9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gygS7DAAAA2wAAAA8AAAAAAAAAAAAA&#10;AAAAoQIAAGRycy9kb3ducmV2LnhtbFBLBQYAAAAABAAEAPkAAACRAwAAAAA=&#10;" filled="t" fillcolor="#4f81bd [3204]" strokecolor="black [3213]">
                  <v:stroke endarrow="block"/>
                </v:shape>
                <v:shape id="直接箭头连接符 52" o:spid="_x0000_s1045" type="#_x0000_t32" style="position:absolute;left:37582;top:34459;width:3200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rvJccUAAADbAAAADwAAAGRycy9kb3ducmV2LnhtbESPX2vCQBDE3wt+h2MFX4puaqlK9BQr&#10;tJQW6t8X35bcmgRzeyF3jem37xUKfRxm5jfMYtXZSrXc+NKJhodRAoolc6aUXMPp+DKcgfKBxFDl&#10;hDV8s4fVsne3oNS4m+y5PYRcRYj4lDQUIdQpos8KtuRHrmaJ3sU1lkKUTY6moVuE2wrHSTJBS6XE&#10;hYJq3hScXQ9fVsMznfA822X371N7mX62j/i6/UCtB/1uPQcVuAv/4b/2m9HwNIbfL/EH4PI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rvJccUAAADbAAAADwAAAAAAAAAA&#10;AAAAAAChAgAAZHJzL2Rvd25yZXYueG1sUEsFBgAAAAAEAAQA+QAAAJMDAAAAAA==&#10;" filled="t" fillcolor="#4f81bd [3204]" strokecolor="black [3213]">
                  <v:stroke endarrow="block"/>
                </v:shape>
                <v:shape id="文本框 33" o:spid="_x0000_s1046" type="#_x0000_t202" style="position:absolute;left:47136;top:22669;width:22028;height:38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14:paraId="3D847F39" w14:textId="2353C167" w:rsidR="00CD70F0" w:rsidRDefault="000171A9">
                        <w:pPr>
                          <w:pStyle w:val="a6"/>
                          <w:spacing w:before="0" w:beforeAutospacing="0" w:after="0" w:afterAutospacing="0"/>
                          <w:textAlignment w:val="baseline"/>
                        </w:pPr>
                        <w:r>
                          <w:rPr>
                            <w:rFonts w:ascii="Calibri" w:hAnsi="Calibri" w:cstheme="minorBidi"/>
                            <w:color w:val="000000" w:themeColor="text1"/>
                            <w:kern w:val="24"/>
                          </w:rPr>
                          <w:t>PUSCH grant</w:t>
                        </w:r>
                        <w:r w:rsidR="00CE01CD">
                          <w:rPr>
                            <w:rFonts w:ascii="Calibri" w:hAnsi="Calibri" w:cstheme="minorBidi"/>
                            <w:color w:val="000000" w:themeColor="text1"/>
                            <w:kern w:val="24"/>
                          </w:rPr>
                          <w:t>ed</w:t>
                        </w:r>
                        <w:r>
                          <w:rPr>
                            <w:rFonts w:ascii="Calibri" w:hAnsi="Calibri" w:cstheme="minorBidi"/>
                            <w:color w:val="000000" w:themeColor="text1"/>
                            <w:kern w:val="24"/>
                          </w:rPr>
                          <w:t xml:space="preserve"> by RAR</w:t>
                        </w:r>
                      </w:p>
                    </w:txbxContent>
                  </v:textbox>
                </v:shape>
                <v:shape id="文本框 34" o:spid="_x0000_s1047" type="#_x0000_t202" style="position:absolute;left:46718;top:30760;width:24410;height:34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14:paraId="32A38587" w14:textId="77777777" w:rsidR="00CD70F0" w:rsidRDefault="000171A9">
                        <w:pPr>
                          <w:pStyle w:val="a6"/>
                          <w:spacing w:before="0" w:beforeAutospacing="0" w:after="0" w:afterAutospacing="0"/>
                          <w:textAlignment w:val="baseline"/>
                        </w:pPr>
                        <w:r>
                          <w:rPr>
                            <w:rFonts w:ascii="Calibri" w:hAnsi="Calibri" w:cstheme="minorBidi"/>
                            <w:color w:val="000000" w:themeColor="text1"/>
                            <w:kern w:val="24"/>
                          </w:rPr>
                          <w:t>contention resolution</w:t>
                        </w:r>
                      </w:p>
                    </w:txbxContent>
                  </v:textbox>
                </v:shape>
                <v:shape id="文本框 12" o:spid="_x0000_s1048" type="#_x0000_t202" style="position:absolute;left:31418;top:15111;width:12936;height:36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R1sIA&#10;AADbAAAADwAAAGRycy9kb3ducmV2LnhtbESPT4vCMBTE74LfITxhb5ooq2g1iijCnlzWf+Dt0Tzb&#10;YvNSmmi7394sLHgcZuY3zGLV2lI8qfaFYw3DgQJBnDpTcKbhdNz1pyB8QDZYOiYNv+Rhtex2FpgY&#10;1/APPQ8hExHCPkENeQhVIqVPc7LoB64ijt7N1RZDlHUmTY1NhNtSjpSaSIsFx4UcK9rklN4PD6vh&#10;vL9dL5/qO9vacdW4Vkm2M6n1R69dz0EEasM7/N/+MhrGE/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1HWwgAAANsAAAAPAAAAAAAAAAAAAAAAAJgCAABkcnMvZG93&#10;bnJldi54bWxQSwUGAAAAAAQABAD1AAAAhwMAAAAA&#10;" filled="f" stroked="f">
                  <v:textbox>
                    <w:txbxContent>
                      <w:p w14:paraId="01BBFEF2" w14:textId="77777777" w:rsidR="00CD70F0" w:rsidRDefault="000171A9">
                        <w:pPr>
                          <w:pStyle w:val="a6"/>
                          <w:spacing w:before="0" w:beforeAutospacing="0" w:after="0" w:afterAutospacing="0"/>
                          <w:textAlignment w:val="baseline"/>
                          <w:rPr>
                            <w:sz w:val="16"/>
                          </w:rPr>
                        </w:pPr>
                        <w:r>
                          <w:rPr>
                            <w:rFonts w:ascii="Calibri" w:hAnsi="Calibri" w:cstheme="minorBidi"/>
                            <w:color w:val="000000" w:themeColor="text1"/>
                            <w:kern w:val="24"/>
                            <w:sz w:val="16"/>
                          </w:rPr>
                          <w:t>Payload detected</w:t>
                        </w:r>
                      </w:p>
                    </w:txbxContent>
                  </v:textbox>
                </v:shape>
                <w10:anchorlock/>
              </v:group>
            </w:pict>
          </mc:Fallback>
        </mc:AlternateContent>
      </w:r>
    </w:p>
    <w:p w14:paraId="5DCF5677" w14:textId="77777777" w:rsidR="00CD70F0" w:rsidRDefault="000171A9">
      <w:pPr>
        <w:jc w:val="center"/>
        <w:rPr>
          <w:sz w:val="22"/>
        </w:rPr>
      </w:pPr>
      <w:r>
        <w:rPr>
          <w:rFonts w:hint="eastAsia"/>
          <w:sz w:val="22"/>
        </w:rPr>
        <w:t>F</w:t>
      </w:r>
      <w:r>
        <w:rPr>
          <w:sz w:val="22"/>
        </w:rPr>
        <w:t xml:space="preserve">igure 1: </w:t>
      </w:r>
      <w:r>
        <w:rPr>
          <w:rFonts w:hint="eastAsia"/>
          <w:sz w:val="22"/>
        </w:rPr>
        <w:t>fallback mechanism</w:t>
      </w:r>
      <w:r>
        <w:rPr>
          <w:sz w:val="22"/>
        </w:rPr>
        <w:t xml:space="preserve"> from 2-step RACH to 4-step RACH by scheduling msg3</w:t>
      </w:r>
    </w:p>
    <w:p w14:paraId="76350605" w14:textId="77777777" w:rsidR="00CD70F0" w:rsidRDefault="00CD70F0">
      <w:pPr>
        <w:tabs>
          <w:tab w:val="left" w:pos="840"/>
        </w:tabs>
        <w:jc w:val="center"/>
        <w:rPr>
          <w:sz w:val="22"/>
        </w:rPr>
      </w:pPr>
    </w:p>
    <w:p w14:paraId="6B34D225" w14:textId="77777777" w:rsidR="00CD70F0" w:rsidRDefault="000171A9">
      <w:pPr>
        <w:rPr>
          <w:sz w:val="22"/>
        </w:rPr>
      </w:pPr>
      <w:r>
        <w:rPr>
          <w:sz w:val="22"/>
        </w:rPr>
        <w:t>Considering the case of payload not decoded is not a large probability event, falling back to 4-step RACH by scheduling msg3 is easy and preferable.</w:t>
      </w:r>
    </w:p>
    <w:p w14:paraId="646EB7AC" w14:textId="77777777" w:rsidR="00CD70F0" w:rsidRDefault="000171A9">
      <w:pPr>
        <w:rPr>
          <w:sz w:val="22"/>
        </w:rPr>
      </w:pPr>
      <w:r>
        <w:rPr>
          <w:rFonts w:hint="eastAsia"/>
          <w:b/>
          <w:sz w:val="22"/>
        </w:rPr>
        <w:t>Fall</w:t>
      </w:r>
      <w:r>
        <w:rPr>
          <w:b/>
          <w:sz w:val="22"/>
        </w:rPr>
        <w:t xml:space="preserve"> </w:t>
      </w:r>
      <w:r>
        <w:rPr>
          <w:rFonts w:hint="eastAsia"/>
          <w:b/>
          <w:sz w:val="22"/>
        </w:rPr>
        <w:t>back to 4-step RACH</w:t>
      </w:r>
      <w:r>
        <w:rPr>
          <w:b/>
          <w:sz w:val="22"/>
        </w:rPr>
        <w:t xml:space="preserve"> b</w:t>
      </w:r>
      <w:r>
        <w:rPr>
          <w:b/>
          <w:sz w:val="22"/>
        </w:rPr>
        <w:t>y starting msg1 transmission</w:t>
      </w:r>
    </w:p>
    <w:p w14:paraId="0689206C" w14:textId="77777777" w:rsidR="00CD70F0" w:rsidRDefault="000171A9">
      <w:pPr>
        <w:rPr>
          <w:sz w:val="22"/>
        </w:rPr>
      </w:pPr>
      <w:r>
        <w:rPr>
          <w:sz w:val="22"/>
        </w:rPr>
        <w:t>It is possible that the msgA detection fails, the preamble and PUSCH in msgA are not successfully detected. After each time of msgA transmission failing, UE will judge and choose the RA type according to a predefined criterion,</w:t>
      </w:r>
      <w:r>
        <w:rPr>
          <w:sz w:val="22"/>
        </w:rPr>
        <w:t xml:space="preserve"> for example, based on the SS RSRP threshold, then UE may fall back to 4-step RACH by starting msg1 transmission when it decides to select 4-step RACH. The retransmission power ramping counter of the preamble can be shared by the two RA types. Alternativel</w:t>
      </w:r>
      <w:r>
        <w:rPr>
          <w:sz w:val="22"/>
        </w:rPr>
        <w:t xml:space="preserve">y, UE can also deliberately choose the msg1 transmission after consecutive N times of msgA detection failing. </w:t>
      </w:r>
    </w:p>
    <w:p w14:paraId="55AD8807" w14:textId="77777777" w:rsidR="00CD70F0" w:rsidRDefault="00CD70F0">
      <w:pPr>
        <w:rPr>
          <w:sz w:val="22"/>
        </w:rPr>
      </w:pPr>
    </w:p>
    <w:p w14:paraId="7D48689A" w14:textId="77777777" w:rsidR="00CD70F0" w:rsidRDefault="000171A9">
      <w:pPr>
        <w:rPr>
          <w:b/>
          <w:i/>
          <w:sz w:val="22"/>
        </w:rPr>
      </w:pPr>
      <w:r>
        <w:rPr>
          <w:b/>
          <w:i/>
          <w:sz w:val="22"/>
        </w:rPr>
        <w:t>Proposal 5</w:t>
      </w:r>
      <w:r>
        <w:rPr>
          <w:rFonts w:hint="eastAsia"/>
          <w:b/>
          <w:i/>
          <w:sz w:val="22"/>
        </w:rPr>
        <w:t xml:space="preserve">: </w:t>
      </w:r>
      <w:r>
        <w:rPr>
          <w:b/>
          <w:i/>
          <w:sz w:val="22"/>
        </w:rPr>
        <w:t>Fallback to 4-step RACH</w:t>
      </w:r>
      <w:r>
        <w:rPr>
          <w:rFonts w:hint="eastAsia"/>
          <w:b/>
          <w:i/>
          <w:sz w:val="22"/>
        </w:rPr>
        <w:t xml:space="preserve"> </w:t>
      </w:r>
      <w:r>
        <w:rPr>
          <w:b/>
          <w:i/>
          <w:sz w:val="22"/>
        </w:rPr>
        <w:t>sh</w:t>
      </w:r>
      <w:r>
        <w:rPr>
          <w:rFonts w:hint="eastAsia"/>
          <w:b/>
          <w:i/>
          <w:sz w:val="22"/>
        </w:rPr>
        <w:t>ould be supported</w:t>
      </w:r>
      <w:r>
        <w:rPr>
          <w:b/>
          <w:i/>
          <w:sz w:val="22"/>
        </w:rPr>
        <w:t>.</w:t>
      </w:r>
    </w:p>
    <w:p w14:paraId="5DE1EA02" w14:textId="77777777" w:rsidR="00CD70F0" w:rsidRDefault="000171A9">
      <w:pPr>
        <w:pStyle w:val="af"/>
        <w:widowControl/>
        <w:numPr>
          <w:ilvl w:val="0"/>
          <w:numId w:val="7"/>
        </w:numPr>
        <w:adjustRightInd w:val="0"/>
        <w:spacing w:line="300" w:lineRule="auto"/>
        <w:ind w:firstLineChars="0"/>
        <w:jc w:val="left"/>
        <w:rPr>
          <w:b/>
          <w:i/>
          <w:sz w:val="22"/>
        </w:rPr>
      </w:pPr>
      <w:r>
        <w:rPr>
          <w:b/>
          <w:i/>
          <w:sz w:val="22"/>
        </w:rPr>
        <w:t>In case of preamble successfully detected but payload unsuccessfully demodulated, gNB c</w:t>
      </w:r>
      <w:r>
        <w:rPr>
          <w:b/>
          <w:i/>
          <w:sz w:val="22"/>
        </w:rPr>
        <w:t>an schedule msg3 transmission.</w:t>
      </w:r>
    </w:p>
    <w:p w14:paraId="3EDB378D" w14:textId="77777777" w:rsidR="00CD70F0" w:rsidRDefault="000171A9">
      <w:pPr>
        <w:pStyle w:val="af"/>
        <w:widowControl/>
        <w:numPr>
          <w:ilvl w:val="0"/>
          <w:numId w:val="7"/>
        </w:numPr>
        <w:adjustRightInd w:val="0"/>
        <w:spacing w:line="300" w:lineRule="auto"/>
        <w:ind w:firstLineChars="0"/>
        <w:jc w:val="left"/>
        <w:rPr>
          <w:b/>
          <w:i/>
          <w:sz w:val="22"/>
        </w:rPr>
      </w:pPr>
      <w:r>
        <w:rPr>
          <w:b/>
          <w:i/>
          <w:sz w:val="22"/>
        </w:rPr>
        <w:t>In case of preamble and payload unsuccessfully decoding, UE may start msg1 transmission.</w:t>
      </w:r>
    </w:p>
    <w:p w14:paraId="7AEEFA7B" w14:textId="77777777" w:rsidR="00CD70F0" w:rsidRDefault="00CD70F0"/>
    <w:p w14:paraId="3D0C2DDB" w14:textId="77777777" w:rsidR="00CD70F0" w:rsidRDefault="000171A9">
      <w:pPr>
        <w:pStyle w:val="2"/>
        <w:numPr>
          <w:ilvl w:val="1"/>
          <w:numId w:val="1"/>
        </w:numPr>
      </w:pPr>
      <w:r>
        <w:t>Recognition of msgB or msg2</w:t>
      </w:r>
    </w:p>
    <w:p w14:paraId="1747F710" w14:textId="77777777" w:rsidR="00CD70F0" w:rsidRDefault="000171A9">
      <w:pPr>
        <w:rPr>
          <w:sz w:val="22"/>
        </w:rPr>
      </w:pPr>
      <w:r>
        <w:rPr>
          <w:sz w:val="22"/>
        </w:rPr>
        <w:t xml:space="preserve">MsgB is used </w:t>
      </w:r>
      <w:r>
        <w:rPr>
          <w:rFonts w:hint="eastAsia"/>
          <w:sz w:val="22"/>
        </w:rPr>
        <w:t>for</w:t>
      </w:r>
      <w:r>
        <w:rPr>
          <w:sz w:val="22"/>
        </w:rPr>
        <w:t xml:space="preserve"> the 2-step RACH, while msg2 is used for the traditional 4-step RACH. From UE perspective, </w:t>
      </w:r>
      <w:r>
        <w:rPr>
          <w:sz w:val="22"/>
        </w:rPr>
        <w:t>UE should distinguish the message of response to msgA/msg1 whether is msgB or msg2. For legacy UEs which only support 4-step RACH, it may receive the msgB if the RA-RNTI</w:t>
      </w:r>
      <w:r>
        <w:rPr>
          <w:rFonts w:hint="eastAsia"/>
          <w:sz w:val="22"/>
        </w:rPr>
        <w:t xml:space="preserve"> </w:t>
      </w:r>
      <w:r>
        <w:rPr>
          <w:sz w:val="22"/>
        </w:rPr>
        <w:t>is same as the RA-RNTI of the UE performing 2-step RACH, which may cause some abnormal</w:t>
      </w:r>
      <w:r>
        <w:rPr>
          <w:sz w:val="22"/>
        </w:rPr>
        <w:t xml:space="preserve"> behavior in initial access procedure. </w:t>
      </w:r>
    </w:p>
    <w:p w14:paraId="3EDDE5BF" w14:textId="77777777" w:rsidR="00CD70F0" w:rsidRDefault="000171A9">
      <w:pPr>
        <w:rPr>
          <w:sz w:val="22"/>
        </w:rPr>
      </w:pPr>
      <w:r>
        <w:rPr>
          <w:rFonts w:hint="eastAsia"/>
          <w:sz w:val="22"/>
        </w:rPr>
        <w:t xml:space="preserve">To distinguish the </w:t>
      </w:r>
      <w:r>
        <w:rPr>
          <w:sz w:val="22"/>
        </w:rPr>
        <w:t>msgB</w:t>
      </w:r>
      <w:r>
        <w:rPr>
          <w:rFonts w:hint="eastAsia"/>
          <w:sz w:val="22"/>
        </w:rPr>
        <w:t xml:space="preserve"> for 2-step </w:t>
      </w:r>
      <w:r>
        <w:rPr>
          <w:sz w:val="22"/>
        </w:rPr>
        <w:t>CBRA</w:t>
      </w:r>
      <w:r>
        <w:rPr>
          <w:rFonts w:hint="eastAsia"/>
          <w:sz w:val="22"/>
        </w:rPr>
        <w:t xml:space="preserve"> and </w:t>
      </w:r>
      <w:r>
        <w:rPr>
          <w:sz w:val="22"/>
        </w:rPr>
        <w:t xml:space="preserve">msg2 for </w:t>
      </w:r>
      <w:r>
        <w:rPr>
          <w:rFonts w:hint="eastAsia"/>
          <w:sz w:val="22"/>
        </w:rPr>
        <w:t xml:space="preserve">4-step </w:t>
      </w:r>
      <w:r>
        <w:rPr>
          <w:sz w:val="22"/>
        </w:rPr>
        <w:t>CB</w:t>
      </w:r>
      <w:r>
        <w:rPr>
          <w:rFonts w:hint="eastAsia"/>
          <w:sz w:val="22"/>
        </w:rPr>
        <w:t>RA, the following alternatives can be considered:</w:t>
      </w:r>
    </w:p>
    <w:p w14:paraId="61C3AE6C" w14:textId="77777777" w:rsidR="00CD70F0" w:rsidRDefault="000171A9">
      <w:pPr>
        <w:numPr>
          <w:ilvl w:val="0"/>
          <w:numId w:val="8"/>
        </w:numPr>
        <w:spacing w:line="300" w:lineRule="auto"/>
        <w:rPr>
          <w:sz w:val="22"/>
        </w:rPr>
      </w:pPr>
      <w:r>
        <w:rPr>
          <w:rFonts w:hint="eastAsia"/>
          <w:sz w:val="22"/>
        </w:rPr>
        <w:lastRenderedPageBreak/>
        <w:t>Alt1</w:t>
      </w:r>
      <w:r>
        <w:rPr>
          <w:sz w:val="22"/>
        </w:rPr>
        <w:t>:</w:t>
      </w:r>
      <w:r>
        <w:rPr>
          <w:rFonts w:hint="eastAsia"/>
          <w:sz w:val="22"/>
        </w:rPr>
        <w:t xml:space="preserve"> </w:t>
      </w:r>
      <w:r>
        <w:rPr>
          <w:sz w:val="22"/>
        </w:rPr>
        <w:t>Scramble PDCCH with 2-step-RA-RNTI and set 2-step-RA-RNTI</w:t>
      </w:r>
      <w:r>
        <w:rPr>
          <w:rFonts w:hint="eastAsia"/>
          <w:sz w:val="22"/>
        </w:rPr>
        <w:t xml:space="preserve"> </w:t>
      </w:r>
      <w:r>
        <w:rPr>
          <w:sz w:val="22"/>
        </w:rPr>
        <w:t>to d</w:t>
      </w:r>
      <w:r>
        <w:rPr>
          <w:rFonts w:hint="eastAsia"/>
          <w:sz w:val="22"/>
        </w:rPr>
        <w:t xml:space="preserve">ifferent value </w:t>
      </w:r>
      <w:r>
        <w:rPr>
          <w:sz w:val="22"/>
        </w:rPr>
        <w:t>range from the legacy</w:t>
      </w:r>
      <w:r>
        <w:rPr>
          <w:rFonts w:hint="eastAsia"/>
          <w:sz w:val="22"/>
        </w:rPr>
        <w:t xml:space="preserve"> RA-RNTI. Since the value of RA-RNTI for 4-step </w:t>
      </w:r>
      <w:r>
        <w:rPr>
          <w:sz w:val="22"/>
        </w:rPr>
        <w:t xml:space="preserve">CBRA </w:t>
      </w:r>
      <w:r>
        <w:rPr>
          <w:rFonts w:hint="eastAsia"/>
          <w:sz w:val="22"/>
        </w:rPr>
        <w:t xml:space="preserve">RACH can be calculated as </w:t>
      </w:r>
      <w:r>
        <w:rPr>
          <w:sz w:val="22"/>
        </w:rPr>
        <w:t>“1 + s_id + 14 × t_id + 14 × 80 × f_id + 14 × 80 × 8 × ul_carrier_id”</w:t>
      </w:r>
      <w:r>
        <w:rPr>
          <w:rFonts w:hint="eastAsia"/>
          <w:sz w:val="22"/>
        </w:rPr>
        <w:t xml:space="preserve">, it is possible to have a </w:t>
      </w:r>
      <w:r>
        <w:rPr>
          <w:sz w:val="22"/>
        </w:rPr>
        <w:t>different value range</w:t>
      </w:r>
      <w:r>
        <w:rPr>
          <w:rFonts w:hint="eastAsia"/>
          <w:sz w:val="22"/>
        </w:rPr>
        <w:t xml:space="preserve"> </w:t>
      </w:r>
      <w:r>
        <w:rPr>
          <w:sz w:val="22"/>
        </w:rPr>
        <w:t xml:space="preserve">for </w:t>
      </w:r>
      <w:r>
        <w:rPr>
          <w:rFonts w:hint="eastAsia"/>
          <w:sz w:val="22"/>
        </w:rPr>
        <w:t xml:space="preserve">the </w:t>
      </w:r>
      <w:r>
        <w:rPr>
          <w:sz w:val="22"/>
        </w:rPr>
        <w:t>2-step-</w:t>
      </w:r>
      <w:r>
        <w:rPr>
          <w:rFonts w:hint="eastAsia"/>
          <w:sz w:val="22"/>
        </w:rPr>
        <w:t xml:space="preserve">RA-RNTI for 2-step </w:t>
      </w:r>
      <w:r>
        <w:rPr>
          <w:sz w:val="22"/>
        </w:rPr>
        <w:t xml:space="preserve">CBRA </w:t>
      </w:r>
      <w:r>
        <w:rPr>
          <w:rFonts w:hint="eastAsia"/>
          <w:sz w:val="22"/>
        </w:rPr>
        <w:t>RACH</w:t>
      </w:r>
      <w:r>
        <w:rPr>
          <w:sz w:val="22"/>
        </w:rPr>
        <w:t xml:space="preserve"> by using an off</w:t>
      </w:r>
      <w:r>
        <w:rPr>
          <w:sz w:val="22"/>
        </w:rPr>
        <w:t>set (which is the max value for RA-RNTI for 4-step RACH as calculated above). When the preambles of msgA and msg1 use separate ROs, it is nature to generate different RA-RNTIs. Furthermore separate ROs is not the only way for generating different RA-RNTIs,</w:t>
      </w:r>
      <w:r>
        <w:rPr>
          <w:sz w:val="22"/>
        </w:rPr>
        <w:t xml:space="preserve"> other solutions are not precluded.</w:t>
      </w:r>
    </w:p>
    <w:p w14:paraId="2B073D80" w14:textId="77777777" w:rsidR="00CD70F0" w:rsidRDefault="000171A9">
      <w:pPr>
        <w:numPr>
          <w:ilvl w:val="0"/>
          <w:numId w:val="8"/>
        </w:numPr>
        <w:spacing w:line="300" w:lineRule="auto"/>
        <w:rPr>
          <w:sz w:val="22"/>
        </w:rPr>
      </w:pPr>
      <w:r>
        <w:rPr>
          <w:rFonts w:hint="eastAsia"/>
          <w:sz w:val="22"/>
        </w:rPr>
        <w:t>Alt</w:t>
      </w:r>
      <w:r>
        <w:rPr>
          <w:sz w:val="22"/>
        </w:rPr>
        <w:t>2</w:t>
      </w:r>
      <w:r>
        <w:rPr>
          <w:rFonts w:hint="eastAsia"/>
          <w:sz w:val="22"/>
        </w:rPr>
        <w:t>:</w:t>
      </w:r>
      <w:r>
        <w:rPr>
          <w:sz w:val="22"/>
        </w:rPr>
        <w:t xml:space="preserve"> Scramble PDCCH of msgB by contention resolution ID carried in msgA. The scheme prohibits the possibility of the fallback to msg3 transmission in the case that preamble index is successfully detected but payload in </w:t>
      </w:r>
      <w:r>
        <w:rPr>
          <w:sz w:val="22"/>
        </w:rPr>
        <w:t>msgA is missed.</w:t>
      </w:r>
    </w:p>
    <w:p w14:paraId="4FCF304A" w14:textId="77777777" w:rsidR="00CD70F0" w:rsidRDefault="000171A9">
      <w:pPr>
        <w:numPr>
          <w:ilvl w:val="0"/>
          <w:numId w:val="8"/>
        </w:numPr>
        <w:spacing w:line="300" w:lineRule="auto"/>
        <w:rPr>
          <w:sz w:val="22"/>
        </w:rPr>
      </w:pPr>
      <w:r>
        <w:rPr>
          <w:rFonts w:hint="eastAsia"/>
          <w:sz w:val="22"/>
        </w:rPr>
        <w:t>Alt</w:t>
      </w:r>
      <w:r>
        <w:rPr>
          <w:sz w:val="22"/>
        </w:rPr>
        <w:t>3</w:t>
      </w:r>
      <w:r>
        <w:rPr>
          <w:rFonts w:hint="eastAsia"/>
          <w:sz w:val="22"/>
        </w:rPr>
        <w:t>:</w:t>
      </w:r>
      <w:r>
        <w:rPr>
          <w:sz w:val="22"/>
        </w:rPr>
        <w:t xml:space="preserve"> Scramble PDCCH of msgB by RAPID. For </w:t>
      </w:r>
      <w:r>
        <w:rPr>
          <w:rFonts w:hint="eastAsia"/>
          <w:sz w:val="22"/>
        </w:rPr>
        <w:t>2</w:t>
      </w:r>
      <w:r>
        <w:rPr>
          <w:sz w:val="22"/>
        </w:rPr>
        <w:t>-</w:t>
      </w:r>
      <w:r>
        <w:rPr>
          <w:rFonts w:hint="eastAsia"/>
          <w:sz w:val="22"/>
        </w:rPr>
        <w:t>step RACH</w:t>
      </w:r>
      <w:r>
        <w:rPr>
          <w:sz w:val="22"/>
        </w:rPr>
        <w:t>, PDCCH of msgB can be scrambled by RAPID. The scheme is much different with the traditional RA-RNTI scrambling method, the RARs corresponding to the same RO can’t be multiplexed into th</w:t>
      </w:r>
      <w:r>
        <w:rPr>
          <w:sz w:val="22"/>
        </w:rPr>
        <w:t>e same DL message, the increasing overhead of DL signaling should be carefully evaluated.</w:t>
      </w:r>
    </w:p>
    <w:p w14:paraId="5A7C6A16" w14:textId="77777777" w:rsidR="00CD70F0" w:rsidRDefault="000171A9">
      <w:pPr>
        <w:numPr>
          <w:ilvl w:val="0"/>
          <w:numId w:val="8"/>
        </w:numPr>
        <w:spacing w:line="300" w:lineRule="auto"/>
        <w:rPr>
          <w:sz w:val="22"/>
        </w:rPr>
      </w:pPr>
      <w:r>
        <w:rPr>
          <w:sz w:val="22"/>
        </w:rPr>
        <w:t xml:space="preserve">Alt4: </w:t>
      </w:r>
      <w:r>
        <w:rPr>
          <w:rFonts w:hint="eastAsia"/>
          <w:sz w:val="22"/>
        </w:rPr>
        <w:t>Separate CORESET and/or Search space for 2-step RACH and 4-step RACH.</w:t>
      </w:r>
      <w:r>
        <w:rPr>
          <w:sz w:val="22"/>
        </w:rPr>
        <w:t xml:space="preserve"> The scheme is more complicated and will bring ambiguity if the two kinds of </w:t>
      </w:r>
      <w:r>
        <w:rPr>
          <w:rFonts w:hint="eastAsia"/>
          <w:sz w:val="22"/>
        </w:rPr>
        <w:t>CORESET</w:t>
      </w:r>
      <w:r>
        <w:rPr>
          <w:sz w:val="22"/>
        </w:rPr>
        <w:t>/</w:t>
      </w:r>
      <w:r>
        <w:rPr>
          <w:rFonts w:hint="eastAsia"/>
          <w:sz w:val="22"/>
        </w:rPr>
        <w:t>Search</w:t>
      </w:r>
      <w:r>
        <w:rPr>
          <w:rFonts w:hint="eastAsia"/>
          <w:sz w:val="22"/>
        </w:rPr>
        <w:t xml:space="preserve"> space</w:t>
      </w:r>
      <w:r>
        <w:rPr>
          <w:sz w:val="22"/>
        </w:rPr>
        <w:t xml:space="preserve"> collide. So it need further studied.</w:t>
      </w:r>
    </w:p>
    <w:p w14:paraId="71FEBAB6" w14:textId="77777777" w:rsidR="00CD70F0" w:rsidRDefault="000171A9">
      <w:pPr>
        <w:numPr>
          <w:ilvl w:val="0"/>
          <w:numId w:val="8"/>
        </w:numPr>
        <w:spacing w:line="300" w:lineRule="auto"/>
        <w:rPr>
          <w:sz w:val="22"/>
        </w:rPr>
      </w:pPr>
      <w:r>
        <w:rPr>
          <w:sz w:val="22"/>
        </w:rPr>
        <w:t xml:space="preserve">Alt5: Explicit/implicit indication in MAC layer for msgB or msg2 multiplexed in one PDSCH. </w:t>
      </w:r>
      <w:r>
        <w:rPr>
          <w:rFonts w:hint="eastAsia"/>
          <w:sz w:val="22"/>
        </w:rPr>
        <w:t>Since the R bit in the current RA response MAC PDU will be ignored by the legacy UE, legacy UE can not distinguish the RA</w:t>
      </w:r>
      <w:r>
        <w:rPr>
          <w:rFonts w:hint="eastAsia"/>
          <w:sz w:val="22"/>
        </w:rPr>
        <w:t xml:space="preserve"> responses for 2-step RACH and 4-step RACH by based on the indicator in MAC</w:t>
      </w:r>
      <w:r>
        <w:rPr>
          <w:sz w:val="22"/>
        </w:rPr>
        <w:t xml:space="preserve"> </w:t>
      </w:r>
      <w:r>
        <w:rPr>
          <w:rFonts w:hint="eastAsia"/>
          <w:sz w:val="22"/>
        </w:rPr>
        <w:t>PDU</w:t>
      </w:r>
      <w:r>
        <w:rPr>
          <w:rFonts w:hint="eastAsia"/>
          <w:sz w:val="22"/>
        </w:rPr>
        <w:t>，</w:t>
      </w:r>
      <w:r>
        <w:rPr>
          <w:rFonts w:hint="eastAsia"/>
          <w:sz w:val="22"/>
        </w:rPr>
        <w:t>the RA response for 2-step RACH and 4-step RACH shall not be included in one MAC PDU.</w:t>
      </w:r>
      <w:r>
        <w:rPr>
          <w:sz w:val="22"/>
        </w:rPr>
        <w:t xml:space="preserve"> It is a reasonable assumption that 2-step RACH UE and 4-step RACH UE share the same RO but</w:t>
      </w:r>
      <w:r>
        <w:rPr>
          <w:sz w:val="22"/>
        </w:rPr>
        <w:t xml:space="preserve"> separate preamble indices and then the RA-RNTIs for PDCCH scrambling are the same. UE can only try to distinguish the msgB or msg2 RAR according to the RAPID field in MAC PDU. In figure 2, an example is showed when msgB and msg2 multiplexed in one PDSCH, </w:t>
      </w:r>
      <w:r>
        <w:rPr>
          <w:sz w:val="22"/>
        </w:rPr>
        <w:t>the legacy UE will try to read each MAC subPDU according to the knowledge of 4-step RACH RAR size. If the RAR sizes for 2-step RACH and for 4-step RACH are different and the MAC PDU consists of subPDUs for 2-step RACH and 4-step RACH simultaneously, when t</w:t>
      </w:r>
      <w:r>
        <w:rPr>
          <w:sz w:val="22"/>
        </w:rPr>
        <w:t>he MAC subPDUs for 4-step RACH don’t enclose the legacy UE’s RAPID, the legacy UE will continue to search the MAC subPDUs for 2-step RACH, and will mismatch the internal position of MAC subPDUs and may misread the content of subPDU because legacy UE doesn’</w:t>
      </w:r>
      <w:r>
        <w:rPr>
          <w:sz w:val="22"/>
        </w:rPr>
        <w:t xml:space="preserve">t know the size of 2-step RACH RAR, this will cause unpredictable error and fatal UE behavior. Even though the RA response for 2-step RACH and 4-step RACH are separated in different MAC PDUs, the legacy UE will also try to read the </w:t>
      </w:r>
      <w:r>
        <w:rPr>
          <w:rFonts w:hint="eastAsia"/>
          <w:sz w:val="22"/>
        </w:rPr>
        <w:t>RA response for 2-step R</w:t>
      </w:r>
      <w:r>
        <w:rPr>
          <w:rFonts w:hint="eastAsia"/>
          <w:sz w:val="22"/>
        </w:rPr>
        <w:t>ACH</w:t>
      </w:r>
      <w:r>
        <w:rPr>
          <w:sz w:val="22"/>
        </w:rPr>
        <w:t xml:space="preserve"> because of the same RA-RNTI, and the </w:t>
      </w:r>
      <w:r>
        <w:rPr>
          <w:sz w:val="22"/>
        </w:rPr>
        <w:lastRenderedPageBreak/>
        <w:t>misreading mentioned above can't be completely avoided for legacy UE.</w:t>
      </w:r>
    </w:p>
    <w:p w14:paraId="544DC776" w14:textId="77777777" w:rsidR="00CD70F0" w:rsidRDefault="000171A9">
      <w:pPr>
        <w:rPr>
          <w:sz w:val="22"/>
        </w:rPr>
      </w:pPr>
      <w:r>
        <w:rPr>
          <w:noProof/>
          <w:sz w:val="22"/>
        </w:rPr>
        <w:drawing>
          <wp:inline distT="0" distB="0" distL="0" distR="0">
            <wp:extent cx="5731510" cy="1479550"/>
            <wp:effectExtent l="0" t="0" r="254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731510" cy="1479550"/>
                    </a:xfrm>
                    <a:prstGeom prst="rect">
                      <a:avLst/>
                    </a:prstGeom>
                  </pic:spPr>
                </pic:pic>
              </a:graphicData>
            </a:graphic>
          </wp:inline>
        </w:drawing>
      </w:r>
    </w:p>
    <w:p w14:paraId="46E9D0B5" w14:textId="77777777" w:rsidR="00CD70F0" w:rsidRDefault="000171A9">
      <w:pPr>
        <w:jc w:val="center"/>
        <w:rPr>
          <w:sz w:val="22"/>
        </w:rPr>
      </w:pPr>
      <w:r>
        <w:rPr>
          <w:rFonts w:hint="eastAsia"/>
          <w:sz w:val="22"/>
        </w:rPr>
        <w:t>F</w:t>
      </w:r>
      <w:r>
        <w:rPr>
          <w:sz w:val="22"/>
        </w:rPr>
        <w:t>igure 2: Possible MAC Structure for msgB or msg2 multiplexed in one PDSCH</w:t>
      </w:r>
    </w:p>
    <w:p w14:paraId="12F89D9A" w14:textId="77777777" w:rsidR="00CD70F0" w:rsidRDefault="000171A9">
      <w:pPr>
        <w:rPr>
          <w:sz w:val="22"/>
        </w:rPr>
      </w:pPr>
      <w:r>
        <w:rPr>
          <w:rFonts w:hint="eastAsia"/>
          <w:sz w:val="22"/>
        </w:rPr>
        <w:t>Based on the above analysis, Alt1 is more preferable for distinguish</w:t>
      </w:r>
      <w:r>
        <w:rPr>
          <w:rFonts w:hint="eastAsia"/>
          <w:sz w:val="22"/>
        </w:rPr>
        <w:t xml:space="preserve">ing the </w:t>
      </w:r>
      <w:r>
        <w:rPr>
          <w:sz w:val="22"/>
        </w:rPr>
        <w:t>msg</w:t>
      </w:r>
      <w:r>
        <w:rPr>
          <w:rFonts w:hint="eastAsia"/>
          <w:sz w:val="22"/>
        </w:rPr>
        <w:t>B and</w:t>
      </w:r>
      <w:r>
        <w:rPr>
          <w:sz w:val="22"/>
        </w:rPr>
        <w:t xml:space="preserve"> msg2. </w:t>
      </w:r>
      <w:r>
        <w:rPr>
          <w:rFonts w:hint="eastAsia"/>
          <w:sz w:val="22"/>
        </w:rPr>
        <w:t>And</w:t>
      </w:r>
      <w:r>
        <w:rPr>
          <w:sz w:val="22"/>
        </w:rPr>
        <w:t xml:space="preserve"> alt4 can be further studied as an alternative.</w:t>
      </w:r>
    </w:p>
    <w:p w14:paraId="66C2DB5C" w14:textId="77777777" w:rsidR="00CD70F0" w:rsidRDefault="000171A9">
      <w:pPr>
        <w:rPr>
          <w:sz w:val="22"/>
        </w:rPr>
      </w:pPr>
      <w:r>
        <w:rPr>
          <w:sz w:val="22"/>
        </w:rPr>
        <w:t>Furthermore, if the length of M</w:t>
      </w:r>
      <w:r>
        <w:rPr>
          <w:rFonts w:hint="eastAsia"/>
          <w:sz w:val="22"/>
        </w:rPr>
        <w:t>sgA</w:t>
      </w:r>
      <w:r>
        <w:rPr>
          <w:sz w:val="22"/>
        </w:rPr>
        <w:t xml:space="preserve"> </w:t>
      </w:r>
      <w:r>
        <w:rPr>
          <w:i/>
          <w:sz w:val="22"/>
        </w:rPr>
        <w:t>ra</w:t>
      </w:r>
      <w:r>
        <w:rPr>
          <w:rFonts w:hint="eastAsia"/>
          <w:i/>
          <w:sz w:val="22"/>
        </w:rPr>
        <w:t>-ResponceWindow</w:t>
      </w:r>
      <w:r>
        <w:rPr>
          <w:rFonts w:hint="eastAsia"/>
          <w:sz w:val="22"/>
        </w:rPr>
        <w:t xml:space="preserve"> </w:t>
      </w:r>
      <w:r>
        <w:rPr>
          <w:sz w:val="22"/>
        </w:rPr>
        <w:t xml:space="preserve">is newly defined and the length exceeds the msg1 </w:t>
      </w:r>
      <w:r>
        <w:rPr>
          <w:i/>
          <w:sz w:val="22"/>
        </w:rPr>
        <w:t>ra</w:t>
      </w:r>
      <w:r>
        <w:rPr>
          <w:rFonts w:hint="eastAsia"/>
          <w:i/>
          <w:sz w:val="22"/>
        </w:rPr>
        <w:t>-ResponceWindow</w:t>
      </w:r>
      <w:r>
        <w:rPr>
          <w:sz w:val="22"/>
        </w:rPr>
        <w:t>, in consequence, the RA-RNTI for msgB should also be newly des</w:t>
      </w:r>
      <w:r>
        <w:rPr>
          <w:sz w:val="22"/>
        </w:rPr>
        <w:t>igned.</w:t>
      </w:r>
    </w:p>
    <w:p w14:paraId="5C663E06" w14:textId="77777777" w:rsidR="00CD70F0" w:rsidRDefault="00CD70F0">
      <w:pPr>
        <w:rPr>
          <w:sz w:val="22"/>
        </w:rPr>
      </w:pPr>
    </w:p>
    <w:p w14:paraId="596651B5" w14:textId="77777777" w:rsidR="00CD70F0" w:rsidRDefault="000171A9">
      <w:r>
        <w:rPr>
          <w:b/>
          <w:i/>
          <w:sz w:val="22"/>
        </w:rPr>
        <w:t>Proposal 6</w:t>
      </w:r>
      <w:r>
        <w:rPr>
          <w:rFonts w:hint="eastAsia"/>
          <w:b/>
          <w:i/>
          <w:sz w:val="22"/>
        </w:rPr>
        <w:t xml:space="preserve">: </w:t>
      </w:r>
      <w:r>
        <w:rPr>
          <w:b/>
          <w:i/>
          <w:sz w:val="22"/>
        </w:rPr>
        <w:t xml:space="preserve">MsgB PDCCH can be scrambled by 2-step-RA-RNTI with </w:t>
      </w:r>
      <w:r>
        <w:rPr>
          <w:rFonts w:hint="eastAsia"/>
          <w:b/>
          <w:i/>
          <w:sz w:val="22"/>
        </w:rPr>
        <w:t>different value</w:t>
      </w:r>
      <w:r>
        <w:rPr>
          <w:b/>
          <w:i/>
          <w:sz w:val="22"/>
        </w:rPr>
        <w:t xml:space="preserve"> range</w:t>
      </w:r>
      <w:r>
        <w:rPr>
          <w:rFonts w:hint="eastAsia"/>
          <w:b/>
          <w:i/>
          <w:sz w:val="22"/>
        </w:rPr>
        <w:t xml:space="preserve"> </w:t>
      </w:r>
      <w:r>
        <w:rPr>
          <w:b/>
          <w:i/>
          <w:sz w:val="22"/>
        </w:rPr>
        <w:t>from the legacy</w:t>
      </w:r>
      <w:r>
        <w:rPr>
          <w:rFonts w:hint="eastAsia"/>
          <w:b/>
          <w:i/>
          <w:sz w:val="22"/>
        </w:rPr>
        <w:t xml:space="preserve"> RA-RNTI</w:t>
      </w:r>
      <w:r>
        <w:rPr>
          <w:b/>
          <w:bCs/>
          <w:i/>
          <w:sz w:val="22"/>
        </w:rPr>
        <w:t>.</w:t>
      </w:r>
    </w:p>
    <w:p w14:paraId="45596B50" w14:textId="77777777" w:rsidR="00CD70F0" w:rsidRDefault="00CD70F0">
      <w:pPr>
        <w:rPr>
          <w:bCs/>
          <w:i/>
          <w:strike/>
          <w:sz w:val="22"/>
        </w:rPr>
      </w:pPr>
    </w:p>
    <w:p w14:paraId="1276BEBF" w14:textId="77777777" w:rsidR="00CD70F0" w:rsidRDefault="000171A9">
      <w:pPr>
        <w:pStyle w:val="1"/>
        <w:numPr>
          <w:ilvl w:val="0"/>
          <w:numId w:val="1"/>
        </w:numPr>
      </w:pPr>
      <w:r>
        <w:t>Power control of 2-step RACH</w:t>
      </w:r>
    </w:p>
    <w:p w14:paraId="70806154" w14:textId="77777777" w:rsidR="00CD70F0" w:rsidRDefault="000171A9">
      <w:pPr>
        <w:pStyle w:val="2"/>
        <w:numPr>
          <w:ilvl w:val="1"/>
          <w:numId w:val="1"/>
        </w:numPr>
      </w:pPr>
      <w:r>
        <w:t>P</w:t>
      </w:r>
      <w:r>
        <w:rPr>
          <w:rFonts w:hint="eastAsia"/>
        </w:rPr>
        <w:t xml:space="preserve">ower </w:t>
      </w:r>
      <w:r>
        <w:t>control of msgA preamble</w:t>
      </w:r>
    </w:p>
    <w:p w14:paraId="0822B959" w14:textId="77777777" w:rsidR="00CD70F0" w:rsidRDefault="000171A9">
      <w:pPr>
        <w:rPr>
          <w:sz w:val="22"/>
          <w:szCs w:val="22"/>
        </w:rPr>
      </w:pPr>
      <w:r>
        <w:rPr>
          <w:rFonts w:hint="eastAsia"/>
          <w:sz w:val="22"/>
          <w:szCs w:val="22"/>
        </w:rPr>
        <w:t>I</w:t>
      </w:r>
      <w:r>
        <w:rPr>
          <w:sz w:val="22"/>
          <w:szCs w:val="22"/>
        </w:rPr>
        <w:t xml:space="preserve">n traditional 4-step RACH procedure, the transmission power of UE is </w:t>
      </w:r>
      <w:r>
        <w:rPr>
          <w:sz w:val="22"/>
          <w:szCs w:val="22"/>
        </w:rPr>
        <w:t>determined by</w:t>
      </w:r>
      <w:r>
        <w:rPr>
          <w:sz w:val="22"/>
          <w:szCs w:val="22"/>
        </w:rPr>
        <w:object w:dxaOrig="1148" w:dyaOrig="292" w14:anchorId="6DB541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4pt;height:14.6pt" o:ole="">
            <v:imagedata r:id="rId7" o:title=""/>
          </v:shape>
          <o:OLEObject Type="Embed" ProgID="Equation.3" ShapeID="_x0000_i1025" DrawAspect="Content" ObjectID="_1615385692" r:id="rId8"/>
        </w:object>
      </w:r>
      <w:r>
        <w:rPr>
          <w:sz w:val="22"/>
          <w:szCs w:val="22"/>
        </w:rPr>
        <w:t xml:space="preserve">, and </w:t>
      </w:r>
      <w:r>
        <w:rPr>
          <w:sz w:val="22"/>
          <w:szCs w:val="22"/>
        </w:rPr>
        <w:object w:dxaOrig="4753" w:dyaOrig="442" w14:anchorId="1B8BE766">
          <v:shape id="_x0000_i1026" type="#_x0000_t75" style="width:237.65pt;height:22.1pt" o:ole="">
            <v:imagedata r:id="rId9" o:title=""/>
          </v:shape>
          <o:OLEObject Type="Embed" ProgID="Equation.3" ShapeID="_x0000_i1026" DrawAspect="Content" ObjectID="_1615385693" r:id="rId10"/>
        </w:object>
      </w:r>
      <w:r>
        <w:rPr>
          <w:sz w:val="22"/>
          <w:szCs w:val="22"/>
        </w:rPr>
        <w:t xml:space="preserve"> [dBm], </w:t>
      </w:r>
      <w:r>
        <w:rPr>
          <w:sz w:val="22"/>
          <w:szCs w:val="22"/>
        </w:rPr>
        <w:object w:dxaOrig="1016" w:dyaOrig="292" w14:anchorId="083B7EA1">
          <v:shape id="_x0000_i1027" type="#_x0000_t75" style="width:50.8pt;height:14.6pt" o:ole="">
            <v:imagedata r:id="rId11" o:title=""/>
          </v:shape>
          <o:OLEObject Type="Embed" ProgID="Equation.3" ShapeID="_x0000_i1027" DrawAspect="Content" ObjectID="_1615385694" r:id="rId12"/>
        </w:object>
      </w:r>
      <w:r>
        <w:rPr>
          <w:sz w:val="22"/>
          <w:szCs w:val="22"/>
        </w:rPr>
        <w:t xml:space="preserve"> is the PRACH target reception power </w:t>
      </w:r>
      <w:r>
        <w:rPr>
          <w:i/>
          <w:sz w:val="22"/>
          <w:szCs w:val="22"/>
        </w:rPr>
        <w:t>PREAMBLE_RECEIVED_TARGET_POWER</w:t>
      </w:r>
      <w:r>
        <w:rPr>
          <w:sz w:val="22"/>
          <w:szCs w:val="22"/>
        </w:rPr>
        <w:t xml:space="preserve"> provided by higher layers. Here </w:t>
      </w:r>
      <w:r>
        <w:rPr>
          <w:i/>
          <w:sz w:val="22"/>
          <w:szCs w:val="22"/>
        </w:rPr>
        <w:t>PREAMBLE_RECEIVED_TARGET_POWER</w:t>
      </w:r>
      <w:r>
        <w:rPr>
          <w:sz w:val="22"/>
          <w:szCs w:val="22"/>
        </w:rPr>
        <w:t xml:space="preserve"> = </w:t>
      </w:r>
      <w:r>
        <w:rPr>
          <w:i/>
          <w:sz w:val="22"/>
          <w:szCs w:val="22"/>
        </w:rPr>
        <w:t xml:space="preserve">preambleReceivedTargetPower + </w:t>
      </w:r>
      <w:r>
        <w:rPr>
          <w:i/>
          <w:sz w:val="22"/>
          <w:szCs w:val="22"/>
        </w:rPr>
        <w:t>DELTA_PREAMBLE + (PREAMBLE_POWER_RAMPING_COUNTER – 1) × PREAMBLE_POWER_RAMPING_STEP</w:t>
      </w:r>
      <w:r>
        <w:rPr>
          <w:sz w:val="22"/>
          <w:szCs w:val="22"/>
        </w:rPr>
        <w:t xml:space="preserve">; </w:t>
      </w:r>
    </w:p>
    <w:p w14:paraId="52CBB3F9" w14:textId="77777777" w:rsidR="00CD70F0" w:rsidRDefault="000171A9">
      <w:pPr>
        <w:rPr>
          <w:sz w:val="22"/>
          <w:szCs w:val="22"/>
        </w:rPr>
      </w:pPr>
      <w:r>
        <w:rPr>
          <w:sz w:val="22"/>
          <w:szCs w:val="22"/>
        </w:rPr>
        <w:t xml:space="preserve">We can reuse the power control principle of msg1 in Rel-15 4-step RACH for that of msgA PRACH preamble initial power and retransmission power. </w:t>
      </w:r>
    </w:p>
    <w:p w14:paraId="6BC42EE5" w14:textId="77777777" w:rsidR="00CD70F0" w:rsidRDefault="000171A9">
      <w:pPr>
        <w:rPr>
          <w:sz w:val="22"/>
          <w:szCs w:val="22"/>
        </w:rPr>
      </w:pPr>
      <w:r>
        <w:rPr>
          <w:sz w:val="22"/>
          <w:szCs w:val="22"/>
        </w:rPr>
        <w:t xml:space="preserve">The </w:t>
      </w:r>
      <w:r>
        <w:rPr>
          <w:i/>
          <w:sz w:val="22"/>
          <w:szCs w:val="22"/>
        </w:rPr>
        <w:t>preambleReceivedTarget</w:t>
      </w:r>
      <w:r>
        <w:rPr>
          <w:i/>
          <w:sz w:val="22"/>
          <w:szCs w:val="22"/>
        </w:rPr>
        <w:t>Power</w:t>
      </w:r>
      <w:r>
        <w:rPr>
          <w:sz w:val="22"/>
          <w:szCs w:val="22"/>
        </w:rPr>
        <w:t xml:space="preserve"> of 2-step RACH can be individually configured or be same as the 4-step RACH configuration.</w:t>
      </w:r>
    </w:p>
    <w:p w14:paraId="6048066B" w14:textId="77777777" w:rsidR="00CD70F0" w:rsidRDefault="000171A9">
      <w:pPr>
        <w:rPr>
          <w:sz w:val="22"/>
          <w:szCs w:val="22"/>
        </w:rPr>
      </w:pPr>
      <w:r>
        <w:rPr>
          <w:sz w:val="22"/>
          <w:szCs w:val="22"/>
        </w:rPr>
        <w:t>The retransmission of msgA includes two types of retransmission, one is the preamble + PUSCH retransmission, the other is the preamble only retransmission (jus</w:t>
      </w:r>
      <w:r>
        <w:rPr>
          <w:sz w:val="22"/>
          <w:szCs w:val="22"/>
        </w:rPr>
        <w:t>t directly fall back to 4-step after N times failure of msgA transmission).</w:t>
      </w:r>
    </w:p>
    <w:p w14:paraId="462B2132" w14:textId="77777777" w:rsidR="00CD70F0" w:rsidRDefault="000171A9">
      <w:pPr>
        <w:rPr>
          <w:sz w:val="22"/>
          <w:szCs w:val="22"/>
        </w:rPr>
      </w:pPr>
      <w:r>
        <w:rPr>
          <w:sz w:val="22"/>
          <w:szCs w:val="22"/>
        </w:rPr>
        <w:t xml:space="preserve">For the power control of msgA preamble retransmission, the legacy power ramping or beam switch procedure can be reused. </w:t>
      </w:r>
    </w:p>
    <w:p w14:paraId="7FA54B55" w14:textId="77777777" w:rsidR="00CD70F0" w:rsidRDefault="00CD70F0">
      <w:pPr>
        <w:rPr>
          <w:sz w:val="22"/>
          <w:szCs w:val="22"/>
        </w:rPr>
      </w:pPr>
    </w:p>
    <w:p w14:paraId="034809B9" w14:textId="77777777" w:rsidR="00CD70F0" w:rsidRDefault="000171A9">
      <w:pPr>
        <w:rPr>
          <w:b/>
          <w:i/>
          <w:sz w:val="22"/>
          <w:szCs w:val="22"/>
        </w:rPr>
      </w:pPr>
      <w:r>
        <w:rPr>
          <w:b/>
          <w:i/>
          <w:sz w:val="22"/>
          <w:szCs w:val="22"/>
        </w:rPr>
        <w:t>Proposal 7: Reuse the power control principle of msg1 in R</w:t>
      </w:r>
      <w:r>
        <w:rPr>
          <w:b/>
          <w:i/>
          <w:sz w:val="22"/>
          <w:szCs w:val="22"/>
        </w:rPr>
        <w:t xml:space="preserve">el-15 4-step RACH for that of msgA </w:t>
      </w:r>
      <w:r>
        <w:rPr>
          <w:b/>
          <w:i/>
          <w:sz w:val="22"/>
          <w:szCs w:val="22"/>
        </w:rPr>
        <w:lastRenderedPageBreak/>
        <w:t>PRACH</w:t>
      </w:r>
      <w:r>
        <w:rPr>
          <w:sz w:val="22"/>
          <w:szCs w:val="22"/>
        </w:rPr>
        <w:t xml:space="preserve"> </w:t>
      </w:r>
      <w:r>
        <w:rPr>
          <w:b/>
          <w:i/>
          <w:sz w:val="22"/>
          <w:szCs w:val="22"/>
        </w:rPr>
        <w:t>preamble initial power and retransmission power.</w:t>
      </w:r>
    </w:p>
    <w:p w14:paraId="7DA9ABD6" w14:textId="77777777" w:rsidR="00CD70F0" w:rsidRDefault="00CD70F0">
      <w:pPr>
        <w:rPr>
          <w:sz w:val="22"/>
          <w:szCs w:val="22"/>
        </w:rPr>
      </w:pPr>
    </w:p>
    <w:p w14:paraId="71322255" w14:textId="77777777" w:rsidR="00CD70F0" w:rsidRDefault="000171A9">
      <w:pPr>
        <w:pStyle w:val="2"/>
        <w:numPr>
          <w:ilvl w:val="1"/>
          <w:numId w:val="1"/>
        </w:numPr>
      </w:pPr>
      <w:r>
        <w:t>P</w:t>
      </w:r>
      <w:r>
        <w:rPr>
          <w:rFonts w:hint="eastAsia"/>
        </w:rPr>
        <w:t xml:space="preserve">ower </w:t>
      </w:r>
      <w:r>
        <w:t>control of msgA PUSCH</w:t>
      </w:r>
    </w:p>
    <w:p w14:paraId="2B5C15E2" w14:textId="77777777" w:rsidR="00CD70F0" w:rsidRDefault="000171A9">
      <w:pPr>
        <w:rPr>
          <w:sz w:val="22"/>
        </w:rPr>
      </w:pPr>
      <w:r>
        <w:rPr>
          <w:sz w:val="22"/>
        </w:rPr>
        <w:t xml:space="preserve">The open loop power control for PUSCH transmission in MsgA has been agreed. </w:t>
      </w:r>
    </w:p>
    <w:p w14:paraId="06C05473" w14:textId="77777777" w:rsidR="00CD70F0" w:rsidRDefault="000171A9">
      <w:pPr>
        <w:rPr>
          <w:sz w:val="22"/>
        </w:rPr>
      </w:pPr>
      <w:r>
        <w:rPr>
          <w:sz w:val="22"/>
        </w:rPr>
        <w:t xml:space="preserve">As the receiver sensitivity of preamble and PUSCH for payload is different, to guarantee the payload successful decoding probability, the open loop power offset between the preamble and the PUSCH should be configured in system information. </w:t>
      </w:r>
    </w:p>
    <w:p w14:paraId="1B746EFC" w14:textId="77777777" w:rsidR="00CD70F0" w:rsidRDefault="000171A9">
      <w:pPr>
        <w:rPr>
          <w:sz w:val="22"/>
        </w:rPr>
      </w:pPr>
      <w:r>
        <w:rPr>
          <w:sz w:val="22"/>
        </w:rPr>
        <w:t>The parameter o</w:t>
      </w:r>
      <w:r>
        <w:rPr>
          <w:sz w:val="22"/>
        </w:rPr>
        <w:t xml:space="preserve">f power offset is very similar with the msg3 power control parameter </w:t>
      </w:r>
      <w:r>
        <w:rPr>
          <w:rFonts w:hint="eastAsia"/>
          <w:i/>
          <w:sz w:val="22"/>
        </w:rPr>
        <w:t>msg3-DeltaPreamble</w:t>
      </w:r>
      <w:r>
        <w:rPr>
          <w:sz w:val="22"/>
        </w:rPr>
        <w:t xml:space="preserve"> but the scope of the power offset can be reconsidered when small packet up to 1000 bits is supported in msgA PUSCH.</w:t>
      </w:r>
    </w:p>
    <w:p w14:paraId="5CD27DA8" w14:textId="77777777" w:rsidR="00CD70F0" w:rsidRDefault="000171A9">
      <w:pPr>
        <w:rPr>
          <w:sz w:val="22"/>
        </w:rPr>
      </w:pPr>
      <w:r>
        <w:rPr>
          <w:rFonts w:hint="eastAsia"/>
          <w:sz w:val="22"/>
        </w:rPr>
        <w:t>W</w:t>
      </w:r>
      <w:r>
        <w:rPr>
          <w:sz w:val="22"/>
        </w:rPr>
        <w:t xml:space="preserve">e can replace the </w:t>
      </w:r>
      <w:r>
        <w:rPr>
          <w:rFonts w:hint="eastAsia"/>
          <w:i/>
          <w:sz w:val="22"/>
        </w:rPr>
        <w:t>msg3-</w:t>
      </w:r>
      <w:r>
        <w:rPr>
          <w:i/>
          <w:sz w:val="22"/>
        </w:rPr>
        <w:t>DeltaPreamble</w:t>
      </w:r>
      <w:r>
        <w:rPr>
          <w:sz w:val="22"/>
        </w:rPr>
        <w:t xml:space="preserve"> in the chapter</w:t>
      </w:r>
      <w:r>
        <w:rPr>
          <w:sz w:val="22"/>
        </w:rPr>
        <w:t xml:space="preserve"> 7.1.1 of 38.213 with the parameter </w:t>
      </w:r>
      <w:r>
        <w:rPr>
          <w:i/>
          <w:sz w:val="22"/>
        </w:rPr>
        <w:t>msgA_PUSCH</w:t>
      </w:r>
      <w:r>
        <w:rPr>
          <w:rFonts w:hint="eastAsia"/>
          <w:i/>
          <w:sz w:val="22"/>
        </w:rPr>
        <w:t>-DeltaPreamble</w:t>
      </w:r>
      <w:r>
        <w:rPr>
          <w:i/>
          <w:sz w:val="22"/>
        </w:rPr>
        <w:t xml:space="preserve"> </w:t>
      </w:r>
      <w:r>
        <w:rPr>
          <w:sz w:val="22"/>
        </w:rPr>
        <w:t>to indicate the PUSCH power offset relative to the preamble power.</w:t>
      </w:r>
    </w:p>
    <w:p w14:paraId="122B7425" w14:textId="77777777" w:rsidR="00CD70F0" w:rsidRDefault="000171A9">
      <w:pPr>
        <w:rPr>
          <w:sz w:val="22"/>
        </w:rPr>
      </w:pPr>
      <w:r>
        <w:rPr>
          <w:sz w:val="22"/>
        </w:rPr>
        <w:t xml:space="preserve">In traditional 4-step RACH, the dynamic power control </w:t>
      </w:r>
      <w:r>
        <w:rPr>
          <w:rFonts w:hint="eastAsia"/>
          <w:sz w:val="22"/>
        </w:rPr>
        <w:t>command</w:t>
      </w:r>
      <w:r>
        <w:rPr>
          <w:sz w:val="22"/>
        </w:rPr>
        <w:t xml:space="preserve"> mechanism of msg3 is used. The power control command </w:t>
      </w:r>
      <w:r>
        <w:rPr>
          <w:rFonts w:hint="eastAsia"/>
          <w:sz w:val="22"/>
        </w:rPr>
        <w:t>is</w:t>
      </w:r>
      <w:r>
        <w:rPr>
          <w:sz w:val="22"/>
        </w:rPr>
        <w:t xml:space="preserve"> configured</w:t>
      </w:r>
      <w:r>
        <w:rPr>
          <w:sz w:val="22"/>
        </w:rPr>
        <w:t xml:space="preserve"> in RAR UL grant. </w:t>
      </w:r>
    </w:p>
    <w:p w14:paraId="28136850" w14:textId="77777777" w:rsidR="00CD70F0" w:rsidRDefault="000171A9">
      <w:pPr>
        <w:rPr>
          <w:sz w:val="22"/>
        </w:rPr>
      </w:pPr>
      <w:r>
        <w:rPr>
          <w:sz w:val="22"/>
        </w:rPr>
        <w:t>For 2-step RACH, as the payload is transmitted in msgA in first step, it is impossible that UE or group specific power control command can be used for msgA PUSCH.</w:t>
      </w:r>
      <w:r>
        <w:rPr>
          <w:rFonts w:hint="eastAsia"/>
          <w:sz w:val="22"/>
        </w:rPr>
        <w:t xml:space="preserve"> </w:t>
      </w:r>
      <w:r>
        <w:rPr>
          <w:sz w:val="22"/>
        </w:rPr>
        <w:t>The absence of power control command will bring some possible problems. If</w:t>
      </w:r>
      <w:r>
        <w:rPr>
          <w:sz w:val="22"/>
        </w:rPr>
        <w:t xml:space="preserve"> the power of msgA PUSCH is not sufficient, it may cause the decoding failure; if the power of msgA PUSCH is too high, it will cause the waste of power and unnecessary interference. </w:t>
      </w:r>
    </w:p>
    <w:p w14:paraId="0B9599BC" w14:textId="77777777" w:rsidR="00CD70F0" w:rsidRDefault="000171A9">
      <w:pPr>
        <w:rPr>
          <w:sz w:val="22"/>
        </w:rPr>
      </w:pPr>
      <w:r>
        <w:rPr>
          <w:sz w:val="22"/>
        </w:rPr>
        <w:t>To compensate the absence of power control command, UE can autonomously d</w:t>
      </w:r>
      <w:r>
        <w:rPr>
          <w:sz w:val="22"/>
        </w:rPr>
        <w:t>ecide the power bias based on its payload size. For example, if the payload size is larger than normal case, the bias will be positive and vice versa. It is an implementation issue and has no specification impact.</w:t>
      </w:r>
    </w:p>
    <w:p w14:paraId="05377E84" w14:textId="77777777" w:rsidR="00CD70F0" w:rsidRDefault="000171A9">
      <w:pPr>
        <w:rPr>
          <w:sz w:val="22"/>
        </w:rPr>
      </w:pPr>
      <w:r>
        <w:rPr>
          <w:rFonts w:hint="eastAsia"/>
          <w:sz w:val="22"/>
        </w:rPr>
        <w:t>F</w:t>
      </w:r>
      <w:r>
        <w:rPr>
          <w:sz w:val="22"/>
        </w:rPr>
        <w:t>or preamble + PUSCH retransmission, the P</w:t>
      </w:r>
      <w:r>
        <w:rPr>
          <w:sz w:val="22"/>
        </w:rPr>
        <w:t>USCH also need power ramping or beam switch. The same principle of preamble retransmission can also be used for PUSCH retransmission. Whether the power ramping step size of PUSCH is the same as preamble power ramping step size or not can be further investi</w:t>
      </w:r>
      <w:r>
        <w:rPr>
          <w:sz w:val="22"/>
        </w:rPr>
        <w:t>gated.</w:t>
      </w:r>
    </w:p>
    <w:p w14:paraId="3CFD50CA" w14:textId="77777777" w:rsidR="00CD70F0" w:rsidRDefault="000171A9">
      <w:pPr>
        <w:rPr>
          <w:sz w:val="22"/>
        </w:rPr>
      </w:pPr>
      <w:r>
        <w:rPr>
          <w:sz w:val="22"/>
        </w:rPr>
        <w:t>If the same principle of preamble retransmission is used for PUSCH retransmission, the preamble + PUSCH retransmission and the preamble only retransmission can share the same ramping counter as well.</w:t>
      </w:r>
    </w:p>
    <w:p w14:paraId="5D11301F" w14:textId="77777777" w:rsidR="00CD70F0" w:rsidRDefault="000171A9">
      <w:pPr>
        <w:spacing w:beforeLines="50" w:before="156" w:line="360" w:lineRule="auto"/>
        <w:rPr>
          <w:sz w:val="22"/>
        </w:rPr>
      </w:pPr>
      <w:r>
        <w:rPr>
          <w:sz w:val="22"/>
        </w:rPr>
        <w:t xml:space="preserve">We can add some descriptions in </w:t>
      </w:r>
      <w:r>
        <w:rPr>
          <w:rFonts w:hint="eastAsia"/>
          <w:sz w:val="22"/>
        </w:rPr>
        <w:t>TS 38.213</w:t>
      </w:r>
      <w:r>
        <w:rPr>
          <w:sz w:val="22"/>
        </w:rPr>
        <w:t xml:space="preserve"> 7.1.1 f</w:t>
      </w:r>
      <w:r>
        <w:rPr>
          <w:sz w:val="22"/>
        </w:rPr>
        <w:t>or 2-step RACH msgA PUSCH power control:</w:t>
      </w:r>
    </w:p>
    <w:tbl>
      <w:tblPr>
        <w:tblStyle w:val="ac"/>
        <w:tblW w:w="9016" w:type="dxa"/>
        <w:tblLayout w:type="fixed"/>
        <w:tblLook w:val="04A0" w:firstRow="1" w:lastRow="0" w:firstColumn="1" w:lastColumn="0" w:noHBand="0" w:noVBand="1"/>
      </w:tblPr>
      <w:tblGrid>
        <w:gridCol w:w="9016"/>
      </w:tblGrid>
      <w:tr w:rsidR="00CD70F0" w14:paraId="03700306" w14:textId="77777777">
        <w:tc>
          <w:tcPr>
            <w:tcW w:w="9016" w:type="dxa"/>
          </w:tcPr>
          <w:p w14:paraId="776FEDD3" w14:textId="77777777" w:rsidR="00CD70F0" w:rsidRDefault="000171A9">
            <w:pPr>
              <w:rPr>
                <w:rFonts w:cs="Times New Roman"/>
                <w:kern w:val="0"/>
                <w:sz w:val="20"/>
                <w:szCs w:val="20"/>
              </w:rPr>
            </w:pPr>
            <w:r>
              <w:rPr>
                <w:rFonts w:cs="Times New Roman"/>
                <w:kern w:val="0"/>
                <w:sz w:val="20"/>
                <w:szCs w:val="20"/>
              </w:rPr>
              <w:t xml:space="preserve">If a UE transmits a PUSCH on active UL BWP </w:t>
            </w:r>
            <w:r>
              <w:rPr>
                <w:rFonts w:cs="Times New Roman"/>
                <w:iCs/>
                <w:kern w:val="0"/>
                <w:position w:val="-6"/>
                <w:sz w:val="20"/>
                <w:szCs w:val="20"/>
              </w:rPr>
              <w:object w:dxaOrig="150" w:dyaOrig="274" w14:anchorId="75C146DE">
                <v:shape id="_x0000_i1028" type="#_x0000_t75" style="width:7.5pt;height:13.7pt" o:ole="">
                  <v:imagedata r:id="rId13" o:title=""/>
                </v:shape>
                <o:OLEObject Type="Embed" ProgID="Equation.3" ShapeID="_x0000_i1028" DrawAspect="Content" ObjectID="_1615385695" r:id="rId14"/>
              </w:object>
            </w:r>
            <w:r>
              <w:rPr>
                <w:rFonts w:cs="Times New Roman"/>
                <w:iCs/>
                <w:kern w:val="0"/>
                <w:sz w:val="20"/>
                <w:szCs w:val="20"/>
              </w:rPr>
              <w:t xml:space="preserve"> of </w:t>
            </w:r>
            <w:r>
              <w:rPr>
                <w:rFonts w:cs="Times New Roman"/>
                <w:kern w:val="0"/>
                <w:sz w:val="20"/>
                <w:szCs w:val="20"/>
              </w:rPr>
              <w:t xml:space="preserve">carrier </w:t>
            </w:r>
            <w:r>
              <w:rPr>
                <w:rFonts w:cs="Times New Roman"/>
                <w:iCs/>
                <w:kern w:val="0"/>
                <w:position w:val="-10"/>
                <w:sz w:val="20"/>
                <w:szCs w:val="20"/>
              </w:rPr>
              <w:object w:dxaOrig="274" w:dyaOrig="274" w14:anchorId="2E4FAD90">
                <v:shape id="_x0000_i1029" type="#_x0000_t75" style="width:13.7pt;height:13.7pt" o:ole="">
                  <v:imagedata r:id="rId15" o:title=""/>
                </v:shape>
                <o:OLEObject Type="Embed" ProgID="Equation.3" ShapeID="_x0000_i1029" DrawAspect="Content" ObjectID="_1615385696" r:id="rId16"/>
              </w:object>
            </w:r>
            <w:r>
              <w:rPr>
                <w:rFonts w:cs="Times New Roman"/>
                <w:iCs/>
                <w:kern w:val="0"/>
                <w:sz w:val="20"/>
                <w:szCs w:val="20"/>
              </w:rPr>
              <w:t xml:space="preserve"> of </w:t>
            </w:r>
            <w:r>
              <w:rPr>
                <w:rFonts w:cs="Times New Roman"/>
                <w:kern w:val="0"/>
                <w:sz w:val="20"/>
                <w:szCs w:val="20"/>
              </w:rPr>
              <w:t xml:space="preserve">serving cell </w:t>
            </w:r>
            <w:r>
              <w:rPr>
                <w:rFonts w:cs="Times New Roman"/>
                <w:iCs/>
                <w:kern w:val="0"/>
                <w:position w:val="-6"/>
                <w:sz w:val="20"/>
                <w:szCs w:val="20"/>
              </w:rPr>
              <w:object w:dxaOrig="194" w:dyaOrig="239" w14:anchorId="5036E1CF">
                <v:shape id="_x0000_i1030" type="#_x0000_t75" style="width:9.7pt;height:11.95pt" o:ole="">
                  <v:imagedata r:id="rId17" o:title=""/>
                </v:shape>
                <o:OLEObject Type="Embed" ProgID="Equation.3" ShapeID="_x0000_i1030" DrawAspect="Content" ObjectID="_1615385697" r:id="rId18"/>
              </w:object>
            </w:r>
            <w:r>
              <w:rPr>
                <w:rFonts w:cs="Times New Roman"/>
                <w:iCs/>
                <w:kern w:val="0"/>
                <w:sz w:val="20"/>
                <w:szCs w:val="20"/>
              </w:rPr>
              <w:t xml:space="preserve"> using </w:t>
            </w:r>
            <w:r>
              <w:rPr>
                <w:rFonts w:cs="Times New Roman"/>
                <w:kern w:val="0"/>
                <w:sz w:val="20"/>
                <w:szCs w:val="20"/>
              </w:rPr>
              <w:t xml:space="preserve">parameter set configuration </w:t>
            </w:r>
            <w:r>
              <w:rPr>
                <w:rFonts w:cs="Times New Roman"/>
                <w:iCs/>
                <w:kern w:val="0"/>
                <w:sz w:val="20"/>
                <w:szCs w:val="20"/>
              </w:rPr>
              <w:t xml:space="preserve">with index </w:t>
            </w:r>
            <w:r>
              <w:rPr>
                <w:rFonts w:cs="Times New Roman"/>
                <w:iCs/>
                <w:kern w:val="0"/>
                <w:position w:val="-10"/>
                <w:sz w:val="20"/>
                <w:szCs w:val="20"/>
              </w:rPr>
              <w:object w:dxaOrig="150" w:dyaOrig="274" w14:anchorId="0A63AB3F">
                <v:shape id="_x0000_i1031" type="#_x0000_t75" style="width:7.5pt;height:13.7pt" o:ole="">
                  <v:imagedata r:id="rId19" o:title=""/>
                </v:shape>
                <o:OLEObject Type="Embed" ProgID="Equation.3" ShapeID="_x0000_i1031" DrawAspect="Content" ObjectID="_1615385698" r:id="rId20"/>
              </w:object>
            </w:r>
            <w:r>
              <w:rPr>
                <w:rFonts w:cs="Times New Roman"/>
                <w:iCs/>
                <w:kern w:val="0"/>
                <w:sz w:val="20"/>
                <w:szCs w:val="20"/>
              </w:rPr>
              <w:t xml:space="preserve"> and </w:t>
            </w:r>
            <w:r>
              <w:rPr>
                <w:rFonts w:cs="Times New Roman"/>
                <w:kern w:val="0"/>
                <w:sz w:val="20"/>
                <w:szCs w:val="20"/>
              </w:rPr>
              <w:t xml:space="preserve">PUSCH power control adjustment state with index </w:t>
            </w:r>
            <w:r>
              <w:rPr>
                <w:rFonts w:cs="Times New Roman"/>
                <w:iCs/>
                <w:kern w:val="0"/>
                <w:position w:val="-6"/>
                <w:sz w:val="20"/>
                <w:szCs w:val="20"/>
              </w:rPr>
              <w:object w:dxaOrig="150" w:dyaOrig="274" w14:anchorId="32E80057">
                <v:shape id="_x0000_i1032" type="#_x0000_t75" style="width:7.5pt;height:13.7pt" o:ole="">
                  <v:imagedata r:id="rId21" o:title=""/>
                </v:shape>
                <o:OLEObject Type="Embed" ProgID="Equation.3" ShapeID="_x0000_i1032" DrawAspect="Content" ObjectID="_1615385699" r:id="rId22"/>
              </w:object>
            </w:r>
            <w:r>
              <w:rPr>
                <w:rFonts w:cs="Times New Roman"/>
                <w:kern w:val="0"/>
                <w:sz w:val="20"/>
                <w:szCs w:val="20"/>
              </w:rPr>
              <w:t xml:space="preserve">, the UE determines the PUSCH transmission power </w:t>
            </w:r>
            <w:r>
              <w:rPr>
                <w:rFonts w:cs="Times New Roman"/>
                <w:iCs/>
                <w:kern w:val="0"/>
                <w:position w:val="-12"/>
                <w:sz w:val="20"/>
                <w:szCs w:val="20"/>
              </w:rPr>
              <w:object w:dxaOrig="1714" w:dyaOrig="336" w14:anchorId="04CFD562">
                <v:shape id="_x0000_i1033" type="#_x0000_t75" style="width:85.7pt;height:16.8pt" o:ole="">
                  <v:imagedata r:id="rId23" o:title=""/>
                </v:shape>
                <o:OLEObject Type="Embed" ProgID="Equation.3" ShapeID="_x0000_i1033" DrawAspect="Content" ObjectID="_1615385700" r:id="rId24"/>
              </w:object>
            </w:r>
            <w:r>
              <w:rPr>
                <w:rFonts w:cs="Times New Roman"/>
                <w:kern w:val="0"/>
                <w:sz w:val="20"/>
                <w:szCs w:val="20"/>
              </w:rPr>
              <w:t xml:space="preserve"> in PUSCH transmission occasion </w:t>
            </w:r>
            <w:r>
              <w:rPr>
                <w:rFonts w:cs="Times New Roman"/>
                <w:iCs/>
                <w:kern w:val="0"/>
                <w:position w:val="-6"/>
                <w:sz w:val="20"/>
                <w:szCs w:val="20"/>
              </w:rPr>
              <w:object w:dxaOrig="150" w:dyaOrig="274" w14:anchorId="2A12B1A5">
                <v:shape id="_x0000_i1034" type="#_x0000_t75" style="width:7.5pt;height:13.7pt" o:ole="">
                  <v:imagedata r:id="rId25" o:title=""/>
                </v:shape>
                <o:OLEObject Type="Embed" ProgID="Equation.3" ShapeID="_x0000_i1034" DrawAspect="Content" ObjectID="_1615385701" r:id="rId26"/>
              </w:object>
            </w:r>
            <w:r>
              <w:rPr>
                <w:rFonts w:cs="Times New Roman"/>
                <w:iCs/>
                <w:kern w:val="0"/>
                <w:sz w:val="20"/>
                <w:szCs w:val="20"/>
              </w:rPr>
              <w:t xml:space="preserve"> </w:t>
            </w:r>
            <w:r>
              <w:rPr>
                <w:rFonts w:cs="Times New Roman"/>
                <w:kern w:val="0"/>
                <w:sz w:val="20"/>
                <w:szCs w:val="20"/>
              </w:rPr>
              <w:t>as</w:t>
            </w:r>
          </w:p>
          <w:p w14:paraId="6B31C18C" w14:textId="77777777" w:rsidR="00CD70F0" w:rsidRDefault="000171A9">
            <w:pPr>
              <w:spacing w:beforeLines="50" w:before="156" w:line="360" w:lineRule="auto"/>
              <w:jc w:val="center"/>
              <w:rPr>
                <w:rFonts w:cs="Times New Roman"/>
                <w:kern w:val="0"/>
                <w:sz w:val="20"/>
                <w:szCs w:val="20"/>
              </w:rPr>
            </w:pPr>
            <w:r>
              <w:rPr>
                <w:rFonts w:cs="Times New Roman"/>
                <w:kern w:val="0"/>
                <w:position w:val="-32"/>
                <w:sz w:val="20"/>
                <w:szCs w:val="20"/>
              </w:rPr>
              <w:object w:dxaOrig="8790" w:dyaOrig="689" w14:anchorId="62E30445">
                <v:shape id="_x0000_i1035" type="#_x0000_t75" style="width:439.5pt;height:34.45pt" o:ole="">
                  <v:imagedata r:id="rId27" o:title=""/>
                </v:shape>
                <o:OLEObject Type="Embed" ProgID="Equation.3" ShapeID="_x0000_i1035" DrawAspect="Content" ObjectID="_1615385702" r:id="rId28"/>
              </w:object>
            </w:r>
            <w:r>
              <w:rPr>
                <w:rFonts w:cs="Times New Roman"/>
                <w:kern w:val="0"/>
                <w:sz w:val="20"/>
                <w:szCs w:val="20"/>
              </w:rPr>
              <w:t xml:space="preserve"> [dBm]</w:t>
            </w:r>
          </w:p>
          <w:p w14:paraId="1E24C780" w14:textId="77777777" w:rsidR="00CD70F0" w:rsidRDefault="000171A9">
            <w:pPr>
              <w:pStyle w:val="B1"/>
              <w:rPr>
                <w:lang w:eastAsia="zh-CN"/>
              </w:rPr>
            </w:pPr>
            <w:r>
              <w:rPr>
                <w:lang w:eastAsia="zh-CN"/>
              </w:rPr>
              <w:lastRenderedPageBreak/>
              <w:t>……</w:t>
            </w:r>
          </w:p>
          <w:p w14:paraId="04062AF5" w14:textId="77777777" w:rsidR="00CD70F0" w:rsidRDefault="000171A9">
            <w:pPr>
              <w:pStyle w:val="B1"/>
            </w:pPr>
            <w:r>
              <w:t>-</w:t>
            </w:r>
            <w:r>
              <w:tab/>
            </w:r>
            <w:r>
              <w:rPr>
                <w:position w:val="-12"/>
              </w:rPr>
              <w:object w:dxaOrig="1290" w:dyaOrig="345" w14:anchorId="65CAF5C1">
                <v:shape id="_x0000_i1036" type="#_x0000_t75" style="width:64.5pt;height:17.25pt" o:ole="">
                  <v:imagedata r:id="rId29" o:title=""/>
                </v:shape>
                <o:OLEObject Type="Embed" ProgID="Equation.3" ShapeID="_x0000_i1036" DrawAspect="Content" ObjectID="_1615385703" r:id="rId30"/>
              </w:object>
            </w:r>
            <w:r>
              <w:t xml:space="preserve"> is a parameter composed of the sum of a component </w:t>
            </w:r>
            <w:r>
              <w:rPr>
                <w:position w:val="-12"/>
              </w:rPr>
              <w:object w:dxaOrig="1935" w:dyaOrig="345" w14:anchorId="6E15B983">
                <v:shape id="_x0000_i1037" type="#_x0000_t75" style="width:96.75pt;height:17.25pt" o:ole="">
                  <v:imagedata r:id="rId31" o:title=""/>
                </v:shape>
                <o:OLEObject Type="Embed" ProgID="Equation.3" ShapeID="_x0000_i1037" DrawAspect="Content" ObjectID="_1615385704" r:id="rId32"/>
              </w:object>
            </w:r>
            <w:r>
              <w:t xml:space="preserve"> and a component </w:t>
            </w:r>
            <w:r>
              <w:rPr>
                <w:position w:val="-12"/>
              </w:rPr>
              <w:object w:dxaOrig="1634" w:dyaOrig="345" w14:anchorId="0E724415">
                <v:shape id="_x0000_i1038" type="#_x0000_t75" style="width:81.7pt;height:17.25pt" o:ole="">
                  <v:imagedata r:id="rId33" o:title=""/>
                </v:shape>
                <o:OLEObject Type="Embed" ProgID="Equation.3" ShapeID="_x0000_i1038" DrawAspect="Content" ObjectID="_1615385705" r:id="rId34"/>
              </w:object>
            </w:r>
            <w:r>
              <w:t xml:space="preserve"> where</w:t>
            </w:r>
            <w:r>
              <w:rPr>
                <w:position w:val="-10"/>
              </w:rPr>
              <w:object w:dxaOrig="1440" w:dyaOrig="274" w14:anchorId="2CB78E59">
                <v:shape id="_x0000_i1039" type="#_x0000_t75" style="width:1in;height:13.7pt" o:ole="">
                  <v:imagedata r:id="rId35" o:title=""/>
                </v:shape>
                <o:OLEObject Type="Embed" ProgID="Equation.3" ShapeID="_x0000_i1039" DrawAspect="Content" ObjectID="_1615385706" r:id="rId36"/>
              </w:object>
            </w:r>
            <w:r>
              <w:t xml:space="preserve">. </w:t>
            </w:r>
          </w:p>
          <w:p w14:paraId="63EE4E3B" w14:textId="77777777" w:rsidR="00CD70F0" w:rsidRDefault="000171A9">
            <w:pPr>
              <w:pStyle w:val="B1"/>
            </w:pPr>
            <w:r>
              <w:t>……</w:t>
            </w:r>
          </w:p>
          <w:p w14:paraId="483C1390" w14:textId="77777777" w:rsidR="00CD70F0" w:rsidRDefault="000171A9">
            <w:pPr>
              <w:pStyle w:val="B2"/>
            </w:pPr>
            <w:r>
              <w:t>-</w:t>
            </w:r>
            <w:r>
              <w:tab/>
            </w:r>
            <w:r>
              <w:rPr>
                <w:rFonts w:hint="eastAsia"/>
              </w:rPr>
              <w:t>F</w:t>
            </w:r>
            <w:r>
              <w:t xml:space="preserve">or a PUSCH transmission </w:t>
            </w:r>
            <w:r>
              <w:rPr>
                <w:rFonts w:hint="eastAsia"/>
              </w:rPr>
              <w:t>in msgA in 2-step RACH</w:t>
            </w:r>
            <w:r>
              <w:t>,</w:t>
            </w:r>
            <w:r>
              <w:rPr>
                <w:position w:val="-10"/>
              </w:rPr>
              <w:object w:dxaOrig="442" w:dyaOrig="274" w14:anchorId="6B5CF577">
                <v:shape id="_x0000_i1040" type="#_x0000_t75" style="width:22.1pt;height:13.7pt" o:ole="">
                  <v:imagedata r:id="rId37" o:title=""/>
                </v:shape>
                <o:OLEObject Type="Embed" ProgID="Equation.3" ShapeID="_x0000_i1040" DrawAspect="Content" ObjectID="_1615385707" r:id="rId38"/>
              </w:object>
            </w:r>
            <w:r>
              <w:t xml:space="preserve">, </w:t>
            </w:r>
            <w:r>
              <w:rPr>
                <w:position w:val="-12"/>
              </w:rPr>
              <w:object w:dxaOrig="1935" w:dyaOrig="336" w14:anchorId="1B7BA1DF">
                <v:shape id="_x0000_i1041" type="#_x0000_t75" style="width:96.75pt;height:16.8pt" o:ole="">
                  <v:imagedata r:id="rId39" o:title=""/>
                </v:shape>
                <o:OLEObject Type="Embed" ProgID="Equation.3" ShapeID="_x0000_i1041" DrawAspect="Content" ObjectID="_1615385708" r:id="rId40"/>
              </w:object>
            </w:r>
            <w:r>
              <w:t xml:space="preserve">, and </w:t>
            </w:r>
            <w:r>
              <w:rPr>
                <w:position w:val="-12"/>
                <w:highlight w:val="green"/>
              </w:rPr>
              <w:object w:dxaOrig="4258" w:dyaOrig="371" w14:anchorId="6AF8B8F4">
                <v:shape id="_x0000_i1042" type="#_x0000_t75" style="width:212.9pt;height:18.55pt" o:ole="">
                  <v:imagedata r:id="rId41" o:title=""/>
                </v:shape>
                <o:OLEObject Type="Embed" ProgID="Equation.3" ShapeID="_x0000_i1042" DrawAspect="Content" ObjectID="_1615385709" r:id="rId42"/>
              </w:object>
            </w:r>
            <w:r>
              <w:rPr>
                <w:highlight w:val="green"/>
              </w:rPr>
              <w:t>,</w:t>
            </w:r>
            <w:r>
              <w:t xml:space="preserve"> where the parameter </w:t>
            </w:r>
            <w:r>
              <w:rPr>
                <w:i/>
              </w:rPr>
              <w:t>preambleReceivedTargetPower</w:t>
            </w:r>
            <w:r>
              <w:t xml:space="preserve"> [11, TS 38.321] (for </w:t>
            </w:r>
            <w:r>
              <w:rPr>
                <w:position w:val="-12"/>
              </w:rPr>
              <w:object w:dxaOrig="574" w:dyaOrig="274" w14:anchorId="46A39F38">
                <v:shape id="_x0000_i1043" type="#_x0000_t75" style="width:28.7pt;height:13.7pt" o:ole="">
                  <v:imagedata r:id="rId43" o:title=""/>
                </v:shape>
                <o:OLEObject Type="Embed" ProgID="Equation.3" ShapeID="_x0000_i1043" DrawAspect="Content" ObjectID="_1615385710" r:id="rId44"/>
              </w:object>
            </w:r>
            <w:r>
              <w:t xml:space="preserve">) and </w:t>
            </w:r>
            <w:r>
              <w:rPr>
                <w:i/>
                <w:highlight w:val="green"/>
              </w:rPr>
              <w:t>msgA_PUSCH-DeltaPreamble</w:t>
            </w:r>
            <w:r>
              <w:rPr>
                <w:highlight w:val="green"/>
              </w:rPr>
              <w:t xml:space="preserve"> (for </w:t>
            </w:r>
            <w:r>
              <w:rPr>
                <w:position w:val="-12"/>
                <w:highlight w:val="green"/>
              </w:rPr>
              <w:object w:dxaOrig="1369" w:dyaOrig="380" w14:anchorId="5656AB62">
                <v:shape id="_x0000_i1044" type="#_x0000_t75" style="width:68.45pt;height:19pt" o:ole="">
                  <v:imagedata r:id="rId45" o:title=""/>
                </v:shape>
                <o:OLEObject Type="Embed" ProgID="Equation.3" ShapeID="_x0000_i1044" DrawAspect="Content" ObjectID="_1615385711" r:id="rId46"/>
              </w:object>
            </w:r>
            <w:r>
              <w:rPr>
                <w:highlight w:val="green"/>
              </w:rPr>
              <w:t>)</w:t>
            </w:r>
            <w:r>
              <w:t xml:space="preserve"> are provided by higher layers, or </w:t>
            </w:r>
            <w:r>
              <w:rPr>
                <w:position w:val="-12"/>
                <w:highlight w:val="green"/>
              </w:rPr>
              <w:object w:dxaOrig="1855" w:dyaOrig="380" w14:anchorId="21CB18E7">
                <v:shape id="_x0000_i1045" type="#_x0000_t75" style="width:92.75pt;height:19pt" o:ole="">
                  <v:imagedata r:id="rId47" o:title=""/>
                </v:shape>
                <o:OLEObject Type="Embed" ProgID="Equation.3" ShapeID="_x0000_i1045" DrawAspect="Content" ObjectID="_1615385712" r:id="rId48"/>
              </w:object>
            </w:r>
            <w:r>
              <w:t xml:space="preserve"> dB if </w:t>
            </w:r>
            <w:r>
              <w:rPr>
                <w:i/>
                <w:highlight w:val="green"/>
              </w:rPr>
              <w:t>msgA_PUSCH-DeltaPreamble</w:t>
            </w:r>
            <w:r>
              <w:rPr>
                <w:iCs/>
              </w:rPr>
              <w:t xml:space="preserve"> i</w:t>
            </w:r>
            <w:r>
              <w:rPr>
                <w:iCs/>
              </w:rPr>
              <w:t>s not provided</w:t>
            </w:r>
            <w:r>
              <w:t xml:space="preserve">, for carrier </w:t>
            </w:r>
            <w:r>
              <w:rPr>
                <w:iCs/>
                <w:position w:val="-10"/>
              </w:rPr>
              <w:object w:dxaOrig="274" w:dyaOrig="274" w14:anchorId="6782CABB">
                <v:shape id="_x0000_i1046" type="#_x0000_t75" style="width:13.7pt;height:13.7pt" o:ole="">
                  <v:imagedata r:id="rId15" o:title=""/>
                </v:shape>
                <o:OLEObject Type="Embed" ProgID="Equation.3" ShapeID="_x0000_i1046" DrawAspect="Content" ObjectID="_1615385713" r:id="rId49"/>
              </w:object>
            </w:r>
            <w:r>
              <w:rPr>
                <w:iCs/>
              </w:rPr>
              <w:t xml:space="preserve"> of </w:t>
            </w:r>
            <w:r>
              <w:t xml:space="preserve">serving cell </w:t>
            </w:r>
            <w:r>
              <w:rPr>
                <w:iCs/>
                <w:position w:val="-6"/>
              </w:rPr>
              <w:object w:dxaOrig="194" w:dyaOrig="239" w14:anchorId="1E2D69E3">
                <v:shape id="_x0000_i1047" type="#_x0000_t75" style="width:9.7pt;height:11.95pt" o:ole="">
                  <v:imagedata r:id="rId17" o:title=""/>
                </v:shape>
                <o:OLEObject Type="Embed" ProgID="Equation.3" ShapeID="_x0000_i1047" DrawAspect="Content" ObjectID="_1615385714" r:id="rId50"/>
              </w:object>
            </w:r>
          </w:p>
          <w:p w14:paraId="7996DA2F" w14:textId="77777777" w:rsidR="00CD70F0" w:rsidRDefault="000171A9">
            <w:pPr>
              <w:pStyle w:val="B1"/>
            </w:pPr>
            <w:r>
              <w:rPr>
                <w:rFonts w:eastAsia="Malgun Gothic"/>
              </w:rPr>
              <w:t>……</w:t>
            </w:r>
          </w:p>
          <w:p w14:paraId="2B3D4239" w14:textId="77777777" w:rsidR="00CD70F0" w:rsidRDefault="000171A9">
            <w:pPr>
              <w:pStyle w:val="B1"/>
            </w:pPr>
            <w:r>
              <w:t>-</w:t>
            </w:r>
            <w:r>
              <w:tab/>
              <w:t xml:space="preserve">For the PUSCH power control adjustment state </w:t>
            </w:r>
            <w:r>
              <w:rPr>
                <w:position w:val="-12"/>
              </w:rPr>
              <w:object w:dxaOrig="866" w:dyaOrig="300" w14:anchorId="3C4DEAEE">
                <v:shape id="_x0000_i1048" type="#_x0000_t75" style="width:43.3pt;height:15pt" o:ole="">
                  <v:imagedata r:id="rId51" o:title=""/>
                </v:shape>
                <o:OLEObject Type="Embed" ProgID="Equation.3" ShapeID="_x0000_i1048" DrawAspect="Content" ObjectID="_1615385715" r:id="rId52"/>
              </w:object>
            </w:r>
            <w:r>
              <w:t xml:space="preserve"> for active UL BWP </w:t>
            </w:r>
            <w:r>
              <w:rPr>
                <w:iCs/>
                <w:position w:val="-6"/>
              </w:rPr>
              <w:object w:dxaOrig="150" w:dyaOrig="274" w14:anchorId="74BD538E">
                <v:shape id="_x0000_i1049" type="#_x0000_t75" style="width:7.5pt;height:13.7pt" o:ole="">
                  <v:imagedata r:id="rId53" o:title=""/>
                </v:shape>
                <o:OLEObject Type="Embed" ProgID="Equation.3" ShapeID="_x0000_i1049" DrawAspect="Content" ObjectID="_1615385716" r:id="rId54"/>
              </w:object>
            </w:r>
            <w:r>
              <w:rPr>
                <w:iCs/>
              </w:rPr>
              <w:t xml:space="preserve"> </w:t>
            </w:r>
            <w:r>
              <w:t xml:space="preserve">of carrier </w:t>
            </w:r>
            <w:r>
              <w:rPr>
                <w:iCs/>
                <w:position w:val="-10"/>
              </w:rPr>
              <w:object w:dxaOrig="274" w:dyaOrig="274" w14:anchorId="6A51C9F5">
                <v:shape id="_x0000_i1050" type="#_x0000_t75" style="width:13.7pt;height:13.7pt" o:ole="">
                  <v:imagedata r:id="rId15" o:title=""/>
                </v:shape>
                <o:OLEObject Type="Embed" ProgID="Equation.3" ShapeID="_x0000_i1050" DrawAspect="Content" ObjectID="_1615385717" r:id="rId55"/>
              </w:object>
            </w:r>
            <w:r>
              <w:rPr>
                <w:iCs/>
              </w:rPr>
              <w:t xml:space="preserve"> of</w:t>
            </w:r>
            <w:r>
              <w:t xml:space="preserve"> serving cell </w:t>
            </w:r>
            <w:r>
              <w:rPr>
                <w:iCs/>
                <w:position w:val="-6"/>
              </w:rPr>
              <w:object w:dxaOrig="194" w:dyaOrig="239" w14:anchorId="10465B6F">
                <v:shape id="_x0000_i1051" type="#_x0000_t75" style="width:9.7pt;height:11.95pt" o:ole="">
                  <v:imagedata r:id="rId17" o:title=""/>
                </v:shape>
                <o:OLEObject Type="Embed" ProgID="Equation.3" ShapeID="_x0000_i1051" DrawAspect="Content" ObjectID="_1615385718" r:id="rId56"/>
              </w:object>
            </w:r>
            <w:r>
              <w:t xml:space="preserve"> in PUSCH transmission occasion </w:t>
            </w:r>
            <w:r>
              <w:rPr>
                <w:position w:val="-6"/>
              </w:rPr>
              <w:object w:dxaOrig="150" w:dyaOrig="274" w14:anchorId="79BF5522">
                <v:shape id="_x0000_i1052" type="#_x0000_t75" style="width:7.5pt;height:13.7pt" o:ole="">
                  <v:imagedata r:id="rId57" o:title=""/>
                </v:shape>
                <o:OLEObject Type="Embed" ProgID="Equation.3" ShapeID="_x0000_i1052" DrawAspect="Content" ObjectID="_1615385719" r:id="rId58"/>
              </w:object>
            </w:r>
          </w:p>
          <w:p w14:paraId="6356B8E2" w14:textId="77777777" w:rsidR="00CD70F0" w:rsidRDefault="000171A9">
            <w:pPr>
              <w:pStyle w:val="B1"/>
            </w:pPr>
            <w:r>
              <w:t>……</w:t>
            </w:r>
          </w:p>
          <w:p w14:paraId="10FF91F8" w14:textId="77777777" w:rsidR="00CD70F0" w:rsidRDefault="000171A9">
            <w:pPr>
              <w:pStyle w:val="B2"/>
              <w:rPr>
                <w:highlight w:val="green"/>
              </w:rPr>
            </w:pPr>
            <w:r>
              <w:rPr>
                <w:highlight w:val="green"/>
              </w:rPr>
              <w:t>-</w:t>
            </w:r>
            <w:r>
              <w:rPr>
                <w:highlight w:val="green"/>
              </w:rPr>
              <w:tab/>
              <w:t>For a PUSCH transmission in msgA in 2-step RACH</w:t>
            </w:r>
          </w:p>
          <w:p w14:paraId="378F7EBB" w14:textId="77777777" w:rsidR="00CD70F0" w:rsidRDefault="000171A9">
            <w:pPr>
              <w:pStyle w:val="B3"/>
            </w:pPr>
            <w:r>
              <w:rPr>
                <w:highlight w:val="green"/>
              </w:rPr>
              <w:t>-</w:t>
            </w:r>
            <w:r>
              <w:rPr>
                <w:highlight w:val="green"/>
              </w:rPr>
              <w:tab/>
            </w:r>
            <w:r>
              <w:rPr>
                <w:position w:val="-14"/>
                <w:highlight w:val="green"/>
              </w:rPr>
              <w:object w:dxaOrig="2094" w:dyaOrig="336" w14:anchorId="49212AF3">
                <v:shape id="_x0000_i1053" type="#_x0000_t75" style="width:104.7pt;height:16.8pt" o:ole="">
                  <v:imagedata r:id="rId59" o:title=""/>
                </v:shape>
                <o:OLEObject Type="Embed" ProgID="Equation.3" ShapeID="_x0000_i1053" DrawAspect="Content" ObjectID="_1615385720" r:id="rId60"/>
              </w:object>
            </w:r>
            <w:r>
              <w:rPr>
                <w:highlight w:val="green"/>
              </w:rPr>
              <w:t xml:space="preserve">, where </w:t>
            </w:r>
            <w:r>
              <w:rPr>
                <w:position w:val="-6"/>
                <w:highlight w:val="green"/>
              </w:rPr>
              <w:object w:dxaOrig="442" w:dyaOrig="274" w14:anchorId="6A9DE052">
                <v:shape id="_x0000_i1054" type="#_x0000_t75" style="width:22.1pt;height:13.7pt" o:ole="">
                  <v:imagedata r:id="rId61" o:title=""/>
                </v:shape>
                <o:OLEObject Type="Embed" ProgID="Equation.3" ShapeID="_x0000_i1054" DrawAspect="Content" ObjectID="_1615385721" r:id="rId62"/>
              </w:object>
            </w:r>
            <w:r>
              <w:rPr>
                <w:highlight w:val="green"/>
              </w:rPr>
              <w:t xml:space="preserve"> and</w:t>
            </w:r>
          </w:p>
          <w:p w14:paraId="17FD8D6A" w14:textId="36A4086D" w:rsidR="00CD70F0" w:rsidRDefault="000171A9" w:rsidP="000171A9">
            <w:pPr>
              <w:rPr>
                <w:rFonts w:cs="Times New Roman"/>
                <w:sz w:val="22"/>
                <w:szCs w:val="20"/>
              </w:rPr>
            </w:pPr>
            <w:r>
              <w:rPr>
                <w:rFonts w:cs="Times New Roman"/>
                <w:kern w:val="0"/>
                <w:sz w:val="20"/>
                <w:szCs w:val="20"/>
              </w:rPr>
              <w:t>-</w:t>
            </w:r>
            <w:r>
              <w:rPr>
                <w:rFonts w:cs="Times New Roman"/>
                <w:kern w:val="0"/>
                <w:sz w:val="20"/>
                <w:szCs w:val="20"/>
              </w:rPr>
              <w:tab/>
            </w:r>
            <w:r>
              <w:rPr>
                <w:rFonts w:cs="Times New Roman"/>
                <w:kern w:val="0"/>
                <w:position w:val="-56"/>
                <w:sz w:val="20"/>
                <w:szCs w:val="20"/>
                <w:highlight w:val="green"/>
              </w:rPr>
              <w:object w:dxaOrig="8066" w:dyaOrig="1016" w14:anchorId="7FF52DFA">
                <v:shape id="_x0000_i1055" type="#_x0000_t75" style="width:403.3pt;height:50.8pt" o:ole="">
                  <v:imagedata r:id="rId63" o:title=""/>
                </v:shape>
                <o:OLEObject Type="Embed" ProgID="Equation.3" ShapeID="_x0000_i1055" DrawAspect="Content" ObjectID="_1615385722" r:id="rId64"/>
              </w:object>
            </w:r>
            <w:r>
              <w:rPr>
                <w:rFonts w:cs="Times New Roman"/>
                <w:kern w:val="0"/>
                <w:sz w:val="20"/>
                <w:szCs w:val="20"/>
              </w:rPr>
              <w:t xml:space="preserve"> and </w:t>
            </w:r>
            <w:r>
              <w:rPr>
                <w:rFonts w:cs="Times New Roman"/>
                <w:kern w:val="0"/>
                <w:position w:val="-12"/>
                <w:sz w:val="20"/>
                <w:szCs w:val="20"/>
              </w:rPr>
              <w:object w:dxaOrig="1546" w:dyaOrig="336" w14:anchorId="7C45FD6A">
                <v:shape id="_x0000_i1056" type="#_x0000_t75" style="width:77.3pt;height:16.8pt" o:ole="">
                  <v:imagedata r:id="rId65" o:title=""/>
                </v:shape>
                <o:OLEObject Type="Embed" ProgID="Equation.3" ShapeID="_x0000_i1056" DrawAspect="Content" ObjectID="_1615385723" r:id="rId66"/>
              </w:object>
            </w:r>
            <w:r>
              <w:rPr>
                <w:rFonts w:cs="Times New Roman"/>
                <w:kern w:val="0"/>
                <w:sz w:val="20"/>
                <w:szCs w:val="20"/>
              </w:rPr>
              <w:t xml:space="preserve"> is provided by higher layers and corresponds to the total power ramp-up requested by higher layers from the first to the </w:t>
            </w:r>
            <w:r w:rsidRPr="000171A9">
              <w:rPr>
                <w:rFonts w:cs="Times New Roman"/>
                <w:kern w:val="0"/>
                <w:sz w:val="20"/>
                <w:szCs w:val="20"/>
                <w:highlight w:val="green"/>
              </w:rPr>
              <w:t>current</w:t>
            </w:r>
            <w:r>
              <w:rPr>
                <w:rFonts w:cs="Times New Roman"/>
                <w:kern w:val="0"/>
                <w:sz w:val="20"/>
                <w:szCs w:val="20"/>
              </w:rPr>
              <w:t xml:space="preserve"> </w:t>
            </w:r>
            <w:r>
              <w:rPr>
                <w:rFonts w:cs="Times New Roman"/>
                <w:kern w:val="0"/>
                <w:sz w:val="20"/>
                <w:szCs w:val="20"/>
              </w:rPr>
              <w:t>rand</w:t>
            </w:r>
            <w:bookmarkStart w:id="6" w:name="_GoBack"/>
            <w:bookmarkEnd w:id="6"/>
            <w:r>
              <w:rPr>
                <w:rFonts w:cs="Times New Roman"/>
                <w:kern w:val="0"/>
                <w:sz w:val="20"/>
                <w:szCs w:val="20"/>
              </w:rPr>
              <w:t>om access</w:t>
            </w:r>
            <w:r w:rsidRPr="00CE01CD">
              <w:rPr>
                <w:rFonts w:cs="Times New Roman"/>
                <w:kern w:val="0"/>
                <w:sz w:val="20"/>
                <w:szCs w:val="20"/>
              </w:rPr>
              <w:t xml:space="preserve"> </w:t>
            </w:r>
            <w:r w:rsidR="00CE01CD" w:rsidRPr="000171A9">
              <w:rPr>
                <w:rFonts w:cs="Times New Roman"/>
                <w:kern w:val="0"/>
                <w:sz w:val="20"/>
                <w:szCs w:val="20"/>
                <w:highlight w:val="green"/>
              </w:rPr>
              <w:t>attempt</w:t>
            </w:r>
            <w:r w:rsidR="00CE01CD">
              <w:rPr>
                <w:rFonts w:cs="Times New Roman"/>
                <w:kern w:val="0"/>
                <w:sz w:val="20"/>
                <w:szCs w:val="20"/>
              </w:rPr>
              <w:t xml:space="preserve"> </w:t>
            </w:r>
            <w:r>
              <w:rPr>
                <w:rFonts w:cs="Times New Roman"/>
                <w:kern w:val="0"/>
                <w:sz w:val="20"/>
                <w:szCs w:val="20"/>
              </w:rPr>
              <w:t xml:space="preserve">for carrier </w:t>
            </w:r>
            <w:r>
              <w:rPr>
                <w:rFonts w:cs="Times New Roman"/>
                <w:iCs/>
                <w:kern w:val="0"/>
                <w:position w:val="-10"/>
                <w:sz w:val="20"/>
                <w:szCs w:val="20"/>
              </w:rPr>
              <w:object w:dxaOrig="274" w:dyaOrig="274" w14:anchorId="7CE16146">
                <v:shape id="_x0000_i1057" type="#_x0000_t75" style="width:13.7pt;height:13.7pt" o:ole="">
                  <v:imagedata r:id="rId15" o:title=""/>
                </v:shape>
                <o:OLEObject Type="Embed" ProgID="Equation.3" ShapeID="_x0000_i1057" DrawAspect="Content" ObjectID="_1615385724" r:id="rId67"/>
              </w:object>
            </w:r>
            <w:r>
              <w:rPr>
                <w:rFonts w:cs="Times New Roman"/>
                <w:iCs/>
                <w:kern w:val="0"/>
                <w:sz w:val="20"/>
                <w:szCs w:val="20"/>
              </w:rPr>
              <w:t xml:space="preserve"> </w:t>
            </w:r>
            <w:r>
              <w:rPr>
                <w:rFonts w:cs="Times New Roman"/>
                <w:kern w:val="0"/>
                <w:sz w:val="20"/>
                <w:szCs w:val="20"/>
              </w:rPr>
              <w:t xml:space="preserve">in the serving cell </w:t>
            </w:r>
            <w:r>
              <w:rPr>
                <w:rFonts w:cs="Times New Roman"/>
                <w:iCs/>
                <w:kern w:val="0"/>
                <w:position w:val="-6"/>
                <w:sz w:val="20"/>
                <w:szCs w:val="20"/>
              </w:rPr>
              <w:object w:dxaOrig="194" w:dyaOrig="239" w14:anchorId="6799B4AD">
                <v:shape id="_x0000_i1058" type="#_x0000_t75" style="width:9.7pt;height:11.95pt" o:ole="">
                  <v:imagedata r:id="rId17" o:title=""/>
                </v:shape>
                <o:OLEObject Type="Embed" ProgID="Equation.3" ShapeID="_x0000_i1058" DrawAspect="Content" ObjectID="_1615385725" r:id="rId68"/>
              </w:object>
            </w:r>
            <w:r>
              <w:rPr>
                <w:rFonts w:cs="Times New Roman"/>
                <w:kern w:val="0"/>
                <w:sz w:val="20"/>
                <w:szCs w:val="20"/>
              </w:rPr>
              <w:t xml:space="preserve">, </w:t>
            </w:r>
            <w:r>
              <w:rPr>
                <w:rFonts w:cs="Times New Roman"/>
                <w:kern w:val="0"/>
                <w:position w:val="-12"/>
                <w:sz w:val="20"/>
                <w:szCs w:val="20"/>
              </w:rPr>
              <w:object w:dxaOrig="866" w:dyaOrig="336" w14:anchorId="343ECFD4">
                <v:shape id="_x0000_i1059" type="#_x0000_t75" style="width:43.3pt;height:16.8pt" o:ole="">
                  <v:imagedata r:id="rId69" o:title=""/>
                </v:shape>
                <o:OLEObject Type="Embed" ProgID="Equation.3" ShapeID="_x0000_i1059" DrawAspect="Content" ObjectID="_1615385726" r:id="rId70"/>
              </w:object>
            </w:r>
            <w:r>
              <w:rPr>
                <w:rFonts w:cs="Times New Roman"/>
                <w:kern w:val="0"/>
                <w:sz w:val="20"/>
                <w:szCs w:val="20"/>
              </w:rPr>
              <w:t xml:space="preserve"> i</w:t>
            </w:r>
            <w:r>
              <w:rPr>
                <w:rFonts w:cs="Times New Roman"/>
                <w:kern w:val="0"/>
                <w:sz w:val="20"/>
                <w:szCs w:val="20"/>
              </w:rPr>
              <w:t xml:space="preserve">s the bandwidth of the PUSCH resource assignment expressed in number of resource blocks for the first PUSCH transmission on active UL BWP </w:t>
            </w:r>
            <w:r>
              <w:rPr>
                <w:rFonts w:cs="Times New Roman"/>
                <w:iCs/>
                <w:kern w:val="0"/>
                <w:position w:val="-6"/>
                <w:sz w:val="20"/>
                <w:szCs w:val="20"/>
              </w:rPr>
              <w:object w:dxaOrig="150" w:dyaOrig="274" w14:anchorId="1AA3A3AF">
                <v:shape id="_x0000_i1060" type="#_x0000_t75" style="width:7.5pt;height:13.7pt" o:ole="">
                  <v:imagedata r:id="rId53" o:title=""/>
                </v:shape>
                <o:OLEObject Type="Embed" ProgID="Equation.3" ShapeID="_x0000_i1060" DrawAspect="Content" ObjectID="_1615385727" r:id="rId71"/>
              </w:object>
            </w:r>
            <w:r>
              <w:rPr>
                <w:rFonts w:cs="Times New Roman"/>
                <w:iCs/>
                <w:kern w:val="0"/>
                <w:sz w:val="20"/>
                <w:szCs w:val="20"/>
              </w:rPr>
              <w:t xml:space="preserve"> </w:t>
            </w:r>
            <w:r>
              <w:rPr>
                <w:rFonts w:cs="Times New Roman"/>
                <w:kern w:val="0"/>
                <w:sz w:val="20"/>
                <w:szCs w:val="20"/>
              </w:rPr>
              <w:t xml:space="preserve">of carrier </w:t>
            </w:r>
            <w:r>
              <w:rPr>
                <w:rFonts w:cs="Times New Roman"/>
                <w:iCs/>
                <w:kern w:val="0"/>
                <w:position w:val="-10"/>
                <w:sz w:val="20"/>
                <w:szCs w:val="20"/>
              </w:rPr>
              <w:object w:dxaOrig="274" w:dyaOrig="274" w14:anchorId="4003A35D">
                <v:shape id="_x0000_i1061" type="#_x0000_t75" style="width:13.7pt;height:13.7pt" o:ole="">
                  <v:imagedata r:id="rId15" o:title=""/>
                </v:shape>
                <o:OLEObject Type="Embed" ProgID="Equation.3" ShapeID="_x0000_i1061" DrawAspect="Content" ObjectID="_1615385728" r:id="rId72"/>
              </w:object>
            </w:r>
            <w:r>
              <w:rPr>
                <w:rFonts w:cs="Times New Roman"/>
                <w:iCs/>
                <w:kern w:val="0"/>
                <w:sz w:val="20"/>
                <w:szCs w:val="20"/>
              </w:rPr>
              <w:t xml:space="preserve"> </w:t>
            </w:r>
            <w:r>
              <w:rPr>
                <w:rFonts w:cs="Times New Roman"/>
                <w:kern w:val="0"/>
                <w:sz w:val="20"/>
                <w:szCs w:val="20"/>
              </w:rPr>
              <w:t>of serving cell</w:t>
            </w:r>
            <w:r>
              <w:rPr>
                <w:rFonts w:cs="Times New Roman"/>
                <w:i/>
                <w:kern w:val="0"/>
                <w:sz w:val="20"/>
                <w:szCs w:val="20"/>
              </w:rPr>
              <w:t xml:space="preserve"> </w:t>
            </w:r>
            <w:r>
              <w:rPr>
                <w:rFonts w:cs="Times New Roman"/>
                <w:iCs/>
                <w:kern w:val="0"/>
                <w:position w:val="-6"/>
                <w:sz w:val="20"/>
                <w:szCs w:val="20"/>
              </w:rPr>
              <w:object w:dxaOrig="194" w:dyaOrig="239" w14:anchorId="0293A35A">
                <v:shape id="_x0000_i1062" type="#_x0000_t75" style="width:9.7pt;height:11.95pt" o:ole="">
                  <v:imagedata r:id="rId17" o:title=""/>
                </v:shape>
                <o:OLEObject Type="Embed" ProgID="Equation.3" ShapeID="_x0000_i1062" DrawAspect="Content" ObjectID="_1615385729" r:id="rId73"/>
              </w:object>
            </w:r>
            <w:r>
              <w:rPr>
                <w:rFonts w:cs="Times New Roman"/>
                <w:kern w:val="0"/>
                <w:sz w:val="20"/>
                <w:szCs w:val="20"/>
              </w:rPr>
              <w:t xml:space="preserve">, and </w:t>
            </w:r>
            <w:r>
              <w:rPr>
                <w:rFonts w:cs="Times New Roman"/>
                <w:noProof/>
                <w:kern w:val="0"/>
                <w:position w:val="-12"/>
                <w:sz w:val="20"/>
                <w:szCs w:val="20"/>
              </w:rPr>
              <w:drawing>
                <wp:inline distT="0" distB="0" distL="0" distR="0">
                  <wp:extent cx="633095" cy="200660"/>
                  <wp:effectExtent l="0" t="0" r="14605" b="6985"/>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633095" cy="200660"/>
                          </a:xfrm>
                          <a:prstGeom prst="rect">
                            <a:avLst/>
                          </a:prstGeom>
                          <a:noFill/>
                          <a:ln>
                            <a:noFill/>
                          </a:ln>
                        </pic:spPr>
                      </pic:pic>
                    </a:graphicData>
                  </a:graphic>
                </wp:inline>
              </w:drawing>
            </w:r>
            <w:r>
              <w:rPr>
                <w:rFonts w:cs="Times New Roman"/>
                <w:kern w:val="0"/>
                <w:sz w:val="20"/>
                <w:szCs w:val="20"/>
              </w:rPr>
              <w:t xml:space="preserve"> is the power adjustment of first PUSCH transmission on active UL BWP </w:t>
            </w:r>
            <w:r>
              <w:rPr>
                <w:rFonts w:cs="Times New Roman"/>
                <w:iCs/>
                <w:kern w:val="0"/>
                <w:position w:val="-6"/>
                <w:sz w:val="20"/>
                <w:szCs w:val="20"/>
              </w:rPr>
              <w:object w:dxaOrig="150" w:dyaOrig="274" w14:anchorId="57F49499">
                <v:shape id="_x0000_i1063" type="#_x0000_t75" style="width:7.5pt;height:13.7pt" o:ole="">
                  <v:imagedata r:id="rId53" o:title=""/>
                </v:shape>
                <o:OLEObject Type="Embed" ProgID="Equation.3" ShapeID="_x0000_i1063" DrawAspect="Content" ObjectID="_1615385730" r:id="rId75"/>
              </w:object>
            </w:r>
            <w:r>
              <w:rPr>
                <w:rFonts w:cs="Times New Roman"/>
                <w:iCs/>
                <w:kern w:val="0"/>
                <w:sz w:val="20"/>
                <w:szCs w:val="20"/>
              </w:rPr>
              <w:t xml:space="preserve"> </w:t>
            </w:r>
            <w:r>
              <w:rPr>
                <w:rFonts w:cs="Times New Roman"/>
                <w:kern w:val="0"/>
                <w:sz w:val="20"/>
                <w:szCs w:val="20"/>
              </w:rPr>
              <w:t xml:space="preserve">of carrier </w:t>
            </w:r>
            <w:r>
              <w:rPr>
                <w:rFonts w:cs="Times New Roman"/>
                <w:iCs/>
                <w:kern w:val="0"/>
                <w:position w:val="-10"/>
                <w:sz w:val="20"/>
                <w:szCs w:val="20"/>
              </w:rPr>
              <w:object w:dxaOrig="274" w:dyaOrig="274" w14:anchorId="437B99F7">
                <v:shape id="_x0000_i1064" type="#_x0000_t75" style="width:13.7pt;height:13.7pt" o:ole="">
                  <v:imagedata r:id="rId15" o:title=""/>
                </v:shape>
                <o:OLEObject Type="Embed" ProgID="Equation.3" ShapeID="_x0000_i1064" DrawAspect="Content" ObjectID="_1615385731" r:id="rId76"/>
              </w:object>
            </w:r>
            <w:r>
              <w:rPr>
                <w:rFonts w:cs="Times New Roman"/>
                <w:iCs/>
                <w:kern w:val="0"/>
                <w:sz w:val="20"/>
                <w:szCs w:val="20"/>
              </w:rPr>
              <w:t xml:space="preserve"> </w:t>
            </w:r>
            <w:r>
              <w:rPr>
                <w:rFonts w:cs="Times New Roman"/>
                <w:kern w:val="0"/>
                <w:sz w:val="20"/>
                <w:szCs w:val="20"/>
              </w:rPr>
              <w:t xml:space="preserve">of serving cell </w:t>
            </w:r>
            <w:r>
              <w:rPr>
                <w:rFonts w:cs="Times New Roman"/>
                <w:iCs/>
                <w:kern w:val="0"/>
                <w:position w:val="-6"/>
                <w:sz w:val="20"/>
                <w:szCs w:val="20"/>
              </w:rPr>
              <w:object w:dxaOrig="194" w:dyaOrig="239" w14:anchorId="28DF9AFA">
                <v:shape id="_x0000_i1065" type="#_x0000_t75" style="width:9.7pt;height:11.95pt" o:ole="">
                  <v:imagedata r:id="rId17" o:title=""/>
                </v:shape>
                <o:OLEObject Type="Embed" ProgID="Equation.3" ShapeID="_x0000_i1065" DrawAspect="Content" ObjectID="_1615385732" r:id="rId77"/>
              </w:object>
            </w:r>
            <w:r>
              <w:rPr>
                <w:rFonts w:cs="Times New Roman"/>
                <w:kern w:val="0"/>
                <w:sz w:val="20"/>
                <w:szCs w:val="20"/>
              </w:rPr>
              <w:t>.</w:t>
            </w:r>
          </w:p>
        </w:tc>
      </w:tr>
    </w:tbl>
    <w:p w14:paraId="7B30AAF5" w14:textId="77777777" w:rsidR="00CD70F0" w:rsidRDefault="00CD70F0">
      <w:pPr>
        <w:rPr>
          <w:sz w:val="22"/>
        </w:rPr>
      </w:pPr>
    </w:p>
    <w:p w14:paraId="151B7889" w14:textId="77777777" w:rsidR="00CD70F0" w:rsidRDefault="000171A9">
      <w:pPr>
        <w:rPr>
          <w:b/>
          <w:i/>
          <w:sz w:val="22"/>
        </w:rPr>
      </w:pPr>
      <w:r>
        <w:rPr>
          <w:b/>
          <w:i/>
          <w:sz w:val="22"/>
        </w:rPr>
        <w:t xml:space="preserve">Proposal 8: Replace the </w:t>
      </w:r>
      <w:r>
        <w:rPr>
          <w:rFonts w:hint="eastAsia"/>
          <w:b/>
          <w:i/>
          <w:sz w:val="22"/>
        </w:rPr>
        <w:t>msg3-</w:t>
      </w:r>
      <w:r>
        <w:rPr>
          <w:b/>
          <w:i/>
          <w:sz w:val="22"/>
        </w:rPr>
        <w:t xml:space="preserve">DeltaPreamble in the chapter 7.1.1 of 38.213 with the </w:t>
      </w:r>
      <w:r>
        <w:rPr>
          <w:b/>
          <w:i/>
          <w:sz w:val="22"/>
        </w:rPr>
        <w:t>parameter msgA_PUSCH</w:t>
      </w:r>
      <w:r>
        <w:rPr>
          <w:rFonts w:hint="eastAsia"/>
          <w:b/>
          <w:i/>
          <w:sz w:val="22"/>
        </w:rPr>
        <w:t>-DeltaPreamble</w:t>
      </w:r>
      <w:r>
        <w:rPr>
          <w:b/>
          <w:i/>
          <w:sz w:val="22"/>
        </w:rPr>
        <w:t xml:space="preserve"> to indicate the PUSCH power offset relative to the preamble power.</w:t>
      </w:r>
    </w:p>
    <w:p w14:paraId="59EBD93D" w14:textId="77777777" w:rsidR="00CD70F0" w:rsidRDefault="000171A9">
      <w:pPr>
        <w:pStyle w:val="af"/>
        <w:widowControl/>
        <w:numPr>
          <w:ilvl w:val="0"/>
          <w:numId w:val="7"/>
        </w:numPr>
        <w:adjustRightInd w:val="0"/>
        <w:spacing w:line="300" w:lineRule="auto"/>
        <w:ind w:firstLineChars="0"/>
        <w:jc w:val="left"/>
        <w:rPr>
          <w:b/>
          <w:i/>
          <w:sz w:val="22"/>
        </w:rPr>
      </w:pPr>
      <w:r>
        <w:rPr>
          <w:b/>
          <w:i/>
          <w:sz w:val="22"/>
        </w:rPr>
        <w:t>FFS: the scope of msgA_PUSCH</w:t>
      </w:r>
      <w:r>
        <w:rPr>
          <w:rFonts w:hint="eastAsia"/>
          <w:b/>
          <w:i/>
          <w:sz w:val="22"/>
        </w:rPr>
        <w:t>-DeltaPreamble</w:t>
      </w:r>
      <w:r>
        <w:rPr>
          <w:b/>
          <w:i/>
          <w:sz w:val="22"/>
        </w:rPr>
        <w:t>.</w:t>
      </w:r>
    </w:p>
    <w:p w14:paraId="47F9DF36" w14:textId="77777777" w:rsidR="00CD70F0" w:rsidRDefault="000171A9">
      <w:pPr>
        <w:rPr>
          <w:b/>
          <w:i/>
          <w:sz w:val="22"/>
        </w:rPr>
      </w:pPr>
      <w:r>
        <w:rPr>
          <w:b/>
          <w:i/>
          <w:sz w:val="22"/>
        </w:rPr>
        <w:lastRenderedPageBreak/>
        <w:t xml:space="preserve">Proposal 9: The power ramping or beam switch is supported for PUSCH retransmission. The same principle of preamble retransmission can be used for PUSCH retransmission. </w:t>
      </w:r>
    </w:p>
    <w:p w14:paraId="57F50397" w14:textId="77777777" w:rsidR="00CD70F0" w:rsidRDefault="000171A9">
      <w:pPr>
        <w:pStyle w:val="af"/>
        <w:widowControl/>
        <w:numPr>
          <w:ilvl w:val="0"/>
          <w:numId w:val="7"/>
        </w:numPr>
        <w:adjustRightInd w:val="0"/>
        <w:spacing w:line="300" w:lineRule="auto"/>
        <w:ind w:firstLineChars="0"/>
        <w:jc w:val="left"/>
        <w:rPr>
          <w:b/>
          <w:i/>
          <w:sz w:val="22"/>
        </w:rPr>
      </w:pPr>
      <w:r>
        <w:rPr>
          <w:b/>
          <w:i/>
          <w:sz w:val="22"/>
        </w:rPr>
        <w:t>Whether the power ramping step size of PUSCH is the same as preamble power ramping step</w:t>
      </w:r>
      <w:r>
        <w:rPr>
          <w:b/>
          <w:i/>
          <w:sz w:val="22"/>
        </w:rPr>
        <w:t xml:space="preserve"> size or not can be further investigated.</w:t>
      </w:r>
    </w:p>
    <w:p w14:paraId="6D7D6BA6" w14:textId="77777777" w:rsidR="00CD70F0" w:rsidRDefault="00CD70F0">
      <w:pPr>
        <w:rPr>
          <w:strike/>
          <w:sz w:val="22"/>
        </w:rPr>
      </w:pPr>
    </w:p>
    <w:p w14:paraId="7F97B2EA" w14:textId="77777777" w:rsidR="00CD70F0" w:rsidRDefault="000171A9">
      <w:pPr>
        <w:pStyle w:val="1"/>
        <w:numPr>
          <w:ilvl w:val="0"/>
          <w:numId w:val="1"/>
        </w:numPr>
      </w:pPr>
      <w:r>
        <w:t>Conclusions</w:t>
      </w:r>
    </w:p>
    <w:p w14:paraId="79B7C5B2" w14:textId="77777777" w:rsidR="00CD70F0" w:rsidRDefault="000171A9">
      <w:pPr>
        <w:rPr>
          <w:sz w:val="22"/>
        </w:rPr>
      </w:pPr>
      <w:r>
        <w:rPr>
          <w:sz w:val="22"/>
        </w:rPr>
        <w:t>The following proposals have been made:</w:t>
      </w:r>
    </w:p>
    <w:p w14:paraId="1A284643" w14:textId="77777777" w:rsidR="00CD70F0" w:rsidRDefault="000171A9">
      <w:pPr>
        <w:rPr>
          <w:sz w:val="22"/>
        </w:rPr>
      </w:pPr>
      <w:r>
        <w:rPr>
          <w:b/>
          <w:i/>
          <w:sz w:val="22"/>
        </w:rPr>
        <w:t>Proposal 1: The content of msgA at least including the unique ID for contention resolution.</w:t>
      </w:r>
    </w:p>
    <w:p w14:paraId="161C30EA" w14:textId="77777777" w:rsidR="00CD70F0" w:rsidRDefault="000171A9">
      <w:pPr>
        <w:pStyle w:val="af"/>
        <w:widowControl/>
        <w:numPr>
          <w:ilvl w:val="0"/>
          <w:numId w:val="4"/>
        </w:numPr>
        <w:adjustRightInd w:val="0"/>
        <w:spacing w:line="300" w:lineRule="auto"/>
        <w:ind w:firstLineChars="0"/>
        <w:jc w:val="left"/>
        <w:rPr>
          <w:b/>
          <w:i/>
          <w:sz w:val="22"/>
        </w:rPr>
      </w:pPr>
      <w:r>
        <w:rPr>
          <w:b/>
          <w:i/>
          <w:sz w:val="22"/>
        </w:rPr>
        <w:t>RAN2 input will be needed for exact content of msgA and especially</w:t>
      </w:r>
      <w:r>
        <w:rPr>
          <w:b/>
          <w:i/>
          <w:sz w:val="22"/>
        </w:rPr>
        <w:t xml:space="preserve"> the corresponding size of each required field.</w:t>
      </w:r>
    </w:p>
    <w:p w14:paraId="528D39CD" w14:textId="77777777" w:rsidR="00CD70F0" w:rsidRDefault="000171A9">
      <w:pPr>
        <w:rPr>
          <w:b/>
          <w:i/>
          <w:sz w:val="22"/>
        </w:rPr>
      </w:pPr>
      <w:r>
        <w:rPr>
          <w:b/>
          <w:i/>
          <w:sz w:val="22"/>
        </w:rPr>
        <w:t>Proposal 2: Payload size, i.e. 56/72 bits with MAC header is taken as starting point for the msgA design.</w:t>
      </w:r>
    </w:p>
    <w:p w14:paraId="0EEF618A" w14:textId="77777777" w:rsidR="00CD70F0" w:rsidRDefault="000171A9">
      <w:pPr>
        <w:pStyle w:val="af"/>
        <w:widowControl/>
        <w:numPr>
          <w:ilvl w:val="0"/>
          <w:numId w:val="7"/>
        </w:numPr>
        <w:adjustRightInd w:val="0"/>
        <w:spacing w:line="300" w:lineRule="auto"/>
        <w:ind w:firstLineChars="0"/>
        <w:jc w:val="left"/>
        <w:rPr>
          <w:sz w:val="22"/>
        </w:rPr>
      </w:pPr>
      <w:r>
        <w:rPr>
          <w:b/>
          <w:i/>
          <w:sz w:val="22"/>
        </w:rPr>
        <w:t>For RRC connected state, small packet UP data transmission can be considered.</w:t>
      </w:r>
    </w:p>
    <w:p w14:paraId="107DAC79" w14:textId="77777777" w:rsidR="00CD70F0" w:rsidRDefault="000171A9">
      <w:pPr>
        <w:rPr>
          <w:b/>
          <w:i/>
          <w:sz w:val="22"/>
        </w:rPr>
      </w:pPr>
      <w:r>
        <w:rPr>
          <w:rFonts w:hint="eastAsia"/>
          <w:b/>
          <w:i/>
          <w:sz w:val="22"/>
          <w:szCs w:val="28"/>
        </w:rPr>
        <w:t>Proposal</w:t>
      </w:r>
      <w:r>
        <w:rPr>
          <w:b/>
          <w:i/>
          <w:sz w:val="22"/>
          <w:szCs w:val="28"/>
        </w:rPr>
        <w:t xml:space="preserve"> 3</w:t>
      </w:r>
      <w:r>
        <w:rPr>
          <w:rFonts w:hint="eastAsia"/>
          <w:b/>
          <w:i/>
          <w:sz w:val="22"/>
          <w:szCs w:val="28"/>
        </w:rPr>
        <w:t xml:space="preserve">: </w:t>
      </w:r>
      <w:r>
        <w:rPr>
          <w:b/>
          <w:i/>
          <w:sz w:val="22"/>
          <w:szCs w:val="28"/>
        </w:rPr>
        <w:t>O</w:t>
      </w:r>
      <w:r>
        <w:rPr>
          <w:rFonts w:hint="eastAsia"/>
          <w:b/>
          <w:i/>
          <w:sz w:val="22"/>
          <w:szCs w:val="28"/>
        </w:rPr>
        <w:t>pt</w:t>
      </w:r>
      <w:r>
        <w:rPr>
          <w:b/>
          <w:i/>
          <w:sz w:val="22"/>
          <w:szCs w:val="28"/>
        </w:rPr>
        <w:t>ion</w:t>
      </w:r>
      <w:r>
        <w:rPr>
          <w:rFonts w:hint="eastAsia"/>
          <w:b/>
          <w:i/>
          <w:sz w:val="22"/>
          <w:szCs w:val="28"/>
        </w:rPr>
        <w:t xml:space="preserve"> 3</w:t>
      </w:r>
      <w:r>
        <w:rPr>
          <w:b/>
          <w:i/>
          <w:sz w:val="22"/>
          <w:szCs w:val="28"/>
        </w:rPr>
        <w:t xml:space="preserve"> is </w:t>
      </w:r>
      <w:r>
        <w:rPr>
          <w:b/>
          <w:i/>
          <w:sz w:val="22"/>
          <w:szCs w:val="28"/>
        </w:rPr>
        <w:t>not preferred</w:t>
      </w:r>
      <w:r>
        <w:rPr>
          <w:rFonts w:hint="eastAsia"/>
          <w:b/>
          <w:i/>
          <w:sz w:val="22"/>
          <w:szCs w:val="28"/>
        </w:rPr>
        <w:t>.</w:t>
      </w:r>
      <w:r>
        <w:rPr>
          <w:b/>
          <w:i/>
          <w:sz w:val="22"/>
          <w:szCs w:val="28"/>
        </w:rPr>
        <w:t xml:space="preserve"> And FFS for option 1 or option 2 down-selection or combination based on evaluation results.</w:t>
      </w:r>
    </w:p>
    <w:p w14:paraId="404E606B" w14:textId="77777777" w:rsidR="00CD70F0" w:rsidRDefault="000171A9">
      <w:pPr>
        <w:rPr>
          <w:b/>
          <w:i/>
          <w:sz w:val="22"/>
        </w:rPr>
      </w:pPr>
      <w:r>
        <w:rPr>
          <w:b/>
          <w:i/>
          <w:sz w:val="22"/>
          <w:szCs w:val="28"/>
        </w:rPr>
        <w:t>Proposal 4</w:t>
      </w:r>
      <w:r>
        <w:rPr>
          <w:rFonts w:hint="eastAsia"/>
          <w:b/>
          <w:i/>
          <w:sz w:val="22"/>
          <w:szCs w:val="28"/>
        </w:rPr>
        <w:t xml:space="preserve">: </w:t>
      </w:r>
      <w:r>
        <w:rPr>
          <w:b/>
          <w:i/>
          <w:sz w:val="22"/>
        </w:rPr>
        <w:t xml:space="preserve">The RA response window for MsgB reception shall start after the transmission of PUSCH of msgA and an offset </w:t>
      </w:r>
      <w:r>
        <w:rPr>
          <w:b/>
          <w:bCs/>
          <w:i/>
          <w:sz w:val="22"/>
          <w:szCs w:val="22"/>
        </w:rPr>
        <w:t>between the end of msgA and t</w:t>
      </w:r>
      <w:r>
        <w:rPr>
          <w:b/>
          <w:bCs/>
          <w:i/>
          <w:sz w:val="22"/>
          <w:szCs w:val="22"/>
        </w:rPr>
        <w:t>he starting point of response window</w:t>
      </w:r>
      <w:r>
        <w:rPr>
          <w:b/>
          <w:i/>
          <w:sz w:val="22"/>
        </w:rPr>
        <w:t xml:space="preserve"> can be </w:t>
      </w:r>
      <w:r>
        <w:rPr>
          <w:b/>
          <w:bCs/>
          <w:i/>
          <w:sz w:val="22"/>
        </w:rPr>
        <w:t>further studied</w:t>
      </w:r>
      <w:r>
        <w:rPr>
          <w:b/>
          <w:i/>
          <w:sz w:val="22"/>
        </w:rPr>
        <w:t>.</w:t>
      </w:r>
    </w:p>
    <w:p w14:paraId="19D5C722" w14:textId="77777777" w:rsidR="00CD70F0" w:rsidRDefault="000171A9">
      <w:pPr>
        <w:rPr>
          <w:b/>
          <w:i/>
          <w:sz w:val="22"/>
        </w:rPr>
      </w:pPr>
      <w:r>
        <w:rPr>
          <w:b/>
          <w:i/>
          <w:sz w:val="22"/>
        </w:rPr>
        <w:t>Proposal 5</w:t>
      </w:r>
      <w:r>
        <w:rPr>
          <w:rFonts w:hint="eastAsia"/>
          <w:b/>
          <w:i/>
          <w:sz w:val="22"/>
        </w:rPr>
        <w:t xml:space="preserve">: </w:t>
      </w:r>
      <w:r>
        <w:rPr>
          <w:b/>
          <w:i/>
          <w:sz w:val="22"/>
        </w:rPr>
        <w:t>Fallback to 4-step RACH</w:t>
      </w:r>
      <w:r>
        <w:rPr>
          <w:rFonts w:hint="eastAsia"/>
          <w:b/>
          <w:i/>
          <w:sz w:val="22"/>
        </w:rPr>
        <w:t xml:space="preserve"> </w:t>
      </w:r>
      <w:r>
        <w:rPr>
          <w:b/>
          <w:i/>
          <w:sz w:val="22"/>
        </w:rPr>
        <w:t>sh</w:t>
      </w:r>
      <w:r>
        <w:rPr>
          <w:rFonts w:hint="eastAsia"/>
          <w:b/>
          <w:i/>
          <w:sz w:val="22"/>
        </w:rPr>
        <w:t>ould be supported</w:t>
      </w:r>
      <w:r>
        <w:rPr>
          <w:b/>
          <w:i/>
          <w:sz w:val="22"/>
        </w:rPr>
        <w:t>.</w:t>
      </w:r>
    </w:p>
    <w:p w14:paraId="39452A29" w14:textId="77777777" w:rsidR="00CD70F0" w:rsidRDefault="000171A9">
      <w:pPr>
        <w:pStyle w:val="af"/>
        <w:widowControl/>
        <w:numPr>
          <w:ilvl w:val="0"/>
          <w:numId w:val="7"/>
        </w:numPr>
        <w:adjustRightInd w:val="0"/>
        <w:spacing w:line="300" w:lineRule="auto"/>
        <w:ind w:firstLineChars="0"/>
        <w:jc w:val="left"/>
        <w:rPr>
          <w:b/>
          <w:i/>
          <w:sz w:val="22"/>
        </w:rPr>
      </w:pPr>
      <w:r>
        <w:rPr>
          <w:b/>
          <w:i/>
          <w:sz w:val="22"/>
        </w:rPr>
        <w:t>In case of preamble successfully detected but payload unsuccessfully demodulated, gNB can schedule msg3 transmission.</w:t>
      </w:r>
    </w:p>
    <w:p w14:paraId="2D6F3353" w14:textId="77777777" w:rsidR="00CD70F0" w:rsidRDefault="000171A9">
      <w:pPr>
        <w:pStyle w:val="af"/>
        <w:widowControl/>
        <w:numPr>
          <w:ilvl w:val="0"/>
          <w:numId w:val="7"/>
        </w:numPr>
        <w:adjustRightInd w:val="0"/>
        <w:spacing w:line="300" w:lineRule="auto"/>
        <w:ind w:firstLineChars="0"/>
        <w:jc w:val="left"/>
        <w:rPr>
          <w:b/>
          <w:i/>
          <w:sz w:val="22"/>
        </w:rPr>
      </w:pPr>
      <w:r>
        <w:rPr>
          <w:b/>
          <w:i/>
          <w:sz w:val="22"/>
        </w:rPr>
        <w:t xml:space="preserve">In case of preamble </w:t>
      </w:r>
      <w:r>
        <w:rPr>
          <w:b/>
          <w:i/>
          <w:sz w:val="22"/>
        </w:rPr>
        <w:t>and payload unsuccessfully decoding, UE may start msg1 transmission.</w:t>
      </w:r>
    </w:p>
    <w:p w14:paraId="1E10B51F" w14:textId="77777777" w:rsidR="00CD70F0" w:rsidRDefault="000171A9">
      <w:pPr>
        <w:rPr>
          <w:sz w:val="22"/>
        </w:rPr>
      </w:pPr>
      <w:r>
        <w:rPr>
          <w:b/>
          <w:i/>
          <w:sz w:val="22"/>
        </w:rPr>
        <w:t>Proposal 6</w:t>
      </w:r>
      <w:r>
        <w:rPr>
          <w:rFonts w:hint="eastAsia"/>
          <w:b/>
          <w:i/>
          <w:sz w:val="22"/>
        </w:rPr>
        <w:t xml:space="preserve">: </w:t>
      </w:r>
      <w:r>
        <w:rPr>
          <w:b/>
          <w:i/>
          <w:sz w:val="22"/>
        </w:rPr>
        <w:t xml:space="preserve">MsgB PDCCH can be scrambled by 2-step-RA-RNTI with </w:t>
      </w:r>
      <w:r>
        <w:rPr>
          <w:rFonts w:hint="eastAsia"/>
          <w:b/>
          <w:i/>
          <w:sz w:val="22"/>
        </w:rPr>
        <w:t>different value</w:t>
      </w:r>
      <w:r>
        <w:rPr>
          <w:b/>
          <w:i/>
          <w:sz w:val="22"/>
        </w:rPr>
        <w:t xml:space="preserve"> range</w:t>
      </w:r>
      <w:r>
        <w:rPr>
          <w:rFonts w:hint="eastAsia"/>
          <w:b/>
          <w:i/>
          <w:sz w:val="22"/>
        </w:rPr>
        <w:t xml:space="preserve"> </w:t>
      </w:r>
      <w:r>
        <w:rPr>
          <w:b/>
          <w:i/>
          <w:sz w:val="22"/>
        </w:rPr>
        <w:t>from the legacy</w:t>
      </w:r>
      <w:r>
        <w:rPr>
          <w:rFonts w:hint="eastAsia"/>
          <w:b/>
          <w:i/>
          <w:sz w:val="22"/>
        </w:rPr>
        <w:t xml:space="preserve"> RA-RNTI</w:t>
      </w:r>
      <w:r>
        <w:rPr>
          <w:b/>
          <w:bCs/>
          <w:i/>
          <w:sz w:val="22"/>
        </w:rPr>
        <w:t>.</w:t>
      </w:r>
    </w:p>
    <w:p w14:paraId="0201220F" w14:textId="77777777" w:rsidR="00CD70F0" w:rsidRDefault="000171A9">
      <w:pPr>
        <w:rPr>
          <w:b/>
          <w:i/>
        </w:rPr>
      </w:pPr>
      <w:r>
        <w:rPr>
          <w:b/>
          <w:i/>
          <w:sz w:val="22"/>
        </w:rPr>
        <w:t xml:space="preserve">Proposal 7: Reuse the power control principle of msg1 in Rel-15 4-step RACH </w:t>
      </w:r>
      <w:r>
        <w:rPr>
          <w:b/>
          <w:i/>
          <w:sz w:val="22"/>
        </w:rPr>
        <w:t>for that of msgA PRACH</w:t>
      </w:r>
      <w:r>
        <w:rPr>
          <w:sz w:val="22"/>
        </w:rPr>
        <w:t xml:space="preserve"> </w:t>
      </w:r>
      <w:r>
        <w:rPr>
          <w:b/>
          <w:i/>
          <w:sz w:val="22"/>
        </w:rPr>
        <w:t>preamble initial power and retransmission power.</w:t>
      </w:r>
    </w:p>
    <w:p w14:paraId="00844AFB" w14:textId="77777777" w:rsidR="00CD70F0" w:rsidRDefault="000171A9">
      <w:pPr>
        <w:rPr>
          <w:b/>
          <w:i/>
          <w:sz w:val="22"/>
        </w:rPr>
      </w:pPr>
      <w:r>
        <w:rPr>
          <w:b/>
          <w:i/>
          <w:sz w:val="22"/>
        </w:rPr>
        <w:t xml:space="preserve">Proposal 8: Replace the </w:t>
      </w:r>
      <w:r>
        <w:rPr>
          <w:rFonts w:hint="eastAsia"/>
          <w:b/>
          <w:i/>
          <w:sz w:val="22"/>
        </w:rPr>
        <w:t>msg3-</w:t>
      </w:r>
      <w:r>
        <w:rPr>
          <w:b/>
          <w:i/>
          <w:sz w:val="22"/>
        </w:rPr>
        <w:t>DeltaPreamble in the chapter 7.1.1 of 38.213 with the parameter msgA_PUSCH</w:t>
      </w:r>
      <w:r>
        <w:rPr>
          <w:rFonts w:hint="eastAsia"/>
          <w:b/>
          <w:i/>
          <w:sz w:val="22"/>
        </w:rPr>
        <w:t>-DeltaPreamble</w:t>
      </w:r>
      <w:r>
        <w:rPr>
          <w:b/>
          <w:i/>
          <w:sz w:val="22"/>
        </w:rPr>
        <w:t xml:space="preserve"> to indicate the PUSCH power offset relative to the preamble power.</w:t>
      </w:r>
    </w:p>
    <w:p w14:paraId="6E3D3522" w14:textId="77777777" w:rsidR="00CD70F0" w:rsidRDefault="000171A9">
      <w:pPr>
        <w:pStyle w:val="af"/>
        <w:widowControl/>
        <w:numPr>
          <w:ilvl w:val="0"/>
          <w:numId w:val="7"/>
        </w:numPr>
        <w:adjustRightInd w:val="0"/>
        <w:spacing w:line="300" w:lineRule="auto"/>
        <w:ind w:firstLineChars="0"/>
        <w:jc w:val="left"/>
        <w:rPr>
          <w:b/>
          <w:i/>
          <w:sz w:val="22"/>
        </w:rPr>
      </w:pPr>
      <w:r>
        <w:rPr>
          <w:b/>
          <w:i/>
          <w:sz w:val="22"/>
        </w:rPr>
        <w:t>FFS: the scope of msgA_PUSCH</w:t>
      </w:r>
      <w:r>
        <w:rPr>
          <w:rFonts w:hint="eastAsia"/>
          <w:b/>
          <w:i/>
          <w:sz w:val="22"/>
        </w:rPr>
        <w:t>-DeltaPreamble</w:t>
      </w:r>
      <w:r>
        <w:rPr>
          <w:b/>
          <w:i/>
          <w:sz w:val="22"/>
        </w:rPr>
        <w:t>.</w:t>
      </w:r>
    </w:p>
    <w:p w14:paraId="3D2C41CC" w14:textId="77777777" w:rsidR="00CD70F0" w:rsidRDefault="000171A9">
      <w:pPr>
        <w:rPr>
          <w:b/>
          <w:i/>
          <w:sz w:val="22"/>
        </w:rPr>
      </w:pPr>
      <w:r>
        <w:rPr>
          <w:b/>
          <w:i/>
          <w:sz w:val="22"/>
        </w:rPr>
        <w:t xml:space="preserve">Proposal 9: The power ramping or beam switch is supported for PUSCH retransmission. The same principle of preamble retransmission can be used for PUSCH retransmission. </w:t>
      </w:r>
    </w:p>
    <w:p w14:paraId="65E4FDDB" w14:textId="77777777" w:rsidR="00CD70F0" w:rsidRDefault="000171A9">
      <w:pPr>
        <w:pStyle w:val="af"/>
        <w:widowControl/>
        <w:numPr>
          <w:ilvl w:val="0"/>
          <w:numId w:val="7"/>
        </w:numPr>
        <w:adjustRightInd w:val="0"/>
        <w:spacing w:line="300" w:lineRule="auto"/>
        <w:ind w:firstLineChars="0"/>
        <w:jc w:val="left"/>
        <w:rPr>
          <w:b/>
          <w:i/>
          <w:sz w:val="22"/>
        </w:rPr>
      </w:pPr>
      <w:r>
        <w:rPr>
          <w:b/>
          <w:i/>
          <w:sz w:val="22"/>
        </w:rPr>
        <w:t>Whether the power ramping step size of PUS</w:t>
      </w:r>
      <w:r>
        <w:rPr>
          <w:b/>
          <w:i/>
          <w:sz w:val="22"/>
        </w:rPr>
        <w:t>CH is the same as preamble power ramping step size or not can be further investigated.</w:t>
      </w:r>
    </w:p>
    <w:p w14:paraId="1CEBB718" w14:textId="77777777" w:rsidR="00CD70F0" w:rsidRDefault="00CD70F0">
      <w:pPr>
        <w:rPr>
          <w:b/>
          <w:i/>
        </w:rPr>
      </w:pPr>
    </w:p>
    <w:p w14:paraId="19DBC2DA" w14:textId="77777777" w:rsidR="00CD70F0" w:rsidRDefault="00CD70F0"/>
    <w:sectPr w:rsidR="00CD70F0">
      <w:pgSz w:w="11906" w:h="16838"/>
      <w:pgMar w:top="1440" w:right="1440" w:bottom="1440" w:left="1440" w:header="720" w:footer="72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FC3540"/>
    <w:multiLevelType w:val="multilevel"/>
    <w:tmpl w:val="0DFC35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F1D637E"/>
    <w:multiLevelType w:val="multilevel"/>
    <w:tmpl w:val="1F1D637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nsid w:val="21D942CC"/>
    <w:multiLevelType w:val="multilevel"/>
    <w:tmpl w:val="21D942C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2BAA544E"/>
    <w:multiLevelType w:val="multilevel"/>
    <w:tmpl w:val="2BAA544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3F420D27"/>
    <w:multiLevelType w:val="multilevel"/>
    <w:tmpl w:val="3F420D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444A7B4D"/>
    <w:multiLevelType w:val="multilevel"/>
    <w:tmpl w:val="444A7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50D3759D"/>
    <w:multiLevelType w:val="multilevel"/>
    <w:tmpl w:val="50D3759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nsid w:val="58ED4553"/>
    <w:multiLevelType w:val="multilevel"/>
    <w:tmpl w:val="58ED455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7"/>
  </w:num>
  <w:num w:numId="2">
    <w:abstractNumId w:val="5"/>
  </w:num>
  <w:num w:numId="3">
    <w:abstractNumId w:val="0"/>
  </w:num>
  <w:num w:numId="4">
    <w:abstractNumId w:val="1"/>
  </w:num>
  <w:num w:numId="5">
    <w:abstractNumId w:val="4"/>
  </w:num>
  <w:num w:numId="6">
    <w:abstractNumId w:val="3"/>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attachedTemplate r:id="rId1"/>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A97"/>
    <w:rsid w:val="000171A9"/>
    <w:rsid w:val="00132518"/>
    <w:rsid w:val="00133A5F"/>
    <w:rsid w:val="0032547D"/>
    <w:rsid w:val="00332A97"/>
    <w:rsid w:val="00344753"/>
    <w:rsid w:val="00474F9C"/>
    <w:rsid w:val="00633F5F"/>
    <w:rsid w:val="0076421D"/>
    <w:rsid w:val="008230EB"/>
    <w:rsid w:val="00C77225"/>
    <w:rsid w:val="00C84CF4"/>
    <w:rsid w:val="00CD70F0"/>
    <w:rsid w:val="00CE01CD"/>
    <w:rsid w:val="0C8356D9"/>
    <w:rsid w:val="109949D8"/>
    <w:rsid w:val="11056681"/>
    <w:rsid w:val="11F312F6"/>
    <w:rsid w:val="1A11010B"/>
    <w:rsid w:val="1F395FB1"/>
    <w:rsid w:val="242441B7"/>
    <w:rsid w:val="298C5320"/>
    <w:rsid w:val="30657F34"/>
    <w:rsid w:val="308128D0"/>
    <w:rsid w:val="32483B91"/>
    <w:rsid w:val="336E0F8F"/>
    <w:rsid w:val="346D7637"/>
    <w:rsid w:val="34B01CE9"/>
    <w:rsid w:val="360134EF"/>
    <w:rsid w:val="3CE62F68"/>
    <w:rsid w:val="41341674"/>
    <w:rsid w:val="5969209B"/>
    <w:rsid w:val="61D50BB2"/>
    <w:rsid w:val="66E2184B"/>
    <w:rsid w:val="6A992B79"/>
    <w:rsid w:val="7063412E"/>
    <w:rsid w:val="7783510F"/>
    <w:rsid w:val="7BEB74DA"/>
    <w:rsid w:val="7F5274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61803092-823A-41C1-B6A2-8CAD3384B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hAnsi="Times New Roman"/>
      <w:kern w:val="2"/>
      <w:sz w:val="21"/>
      <w:szCs w:val="21"/>
    </w:rPr>
  </w:style>
  <w:style w:type="paragraph" w:styleId="1">
    <w:name w:val="heading 1"/>
    <w:basedOn w:val="a"/>
    <w:next w:val="a"/>
    <w:link w:val="1Char"/>
    <w:uiPriority w:val="9"/>
    <w:qFormat/>
    <w:pPr>
      <w:keepNext/>
      <w:keepLines/>
      <w:spacing w:before="340" w:after="330" w:line="578" w:lineRule="auto"/>
      <w:outlineLvl w:val="0"/>
    </w:pPr>
    <w:rPr>
      <w:rFonts w:ascii="Arial" w:hAnsi="Arial"/>
      <w:b/>
      <w:bCs/>
      <w:kern w:val="44"/>
      <w:sz w:val="32"/>
      <w:szCs w:val="44"/>
    </w:rPr>
  </w:style>
  <w:style w:type="paragraph" w:styleId="2">
    <w:name w:val="heading 2"/>
    <w:basedOn w:val="a"/>
    <w:next w:val="a"/>
    <w:link w:val="2Char"/>
    <w:uiPriority w:val="9"/>
    <w:unhideWhenUsed/>
    <w:qFormat/>
    <w:pPr>
      <w:keepNext/>
      <w:keepLines/>
      <w:spacing w:before="260" w:after="260" w:line="415" w:lineRule="auto"/>
      <w:outlineLvl w:val="1"/>
    </w:pPr>
    <w:rPr>
      <w:rFonts w:ascii="Arial" w:eastAsiaTheme="majorEastAsia" w:hAnsi="Arial" w:cstheme="majorBidi"/>
      <w:b/>
      <w:bCs/>
      <w:sz w:val="28"/>
      <w:szCs w:val="32"/>
    </w:rPr>
  </w:style>
  <w:style w:type="paragraph" w:styleId="3">
    <w:name w:val="heading 3"/>
    <w:basedOn w:val="a"/>
    <w:next w:val="a"/>
    <w:link w:val="3Char"/>
    <w:uiPriority w:val="9"/>
    <w:unhideWhenUsed/>
    <w:qFormat/>
    <w:pPr>
      <w:keepNext/>
      <w:keepLines/>
      <w:spacing w:before="260" w:after="260" w:line="416" w:lineRule="auto"/>
      <w:outlineLvl w:val="2"/>
    </w:pPr>
    <w:rPr>
      <w:rFonts w:ascii="Arial" w:hAnsi="Arial"/>
      <w:b/>
      <w:bCs/>
      <w:sz w:val="24"/>
      <w:szCs w:val="32"/>
    </w:rPr>
  </w:style>
  <w:style w:type="paragraph" w:styleId="4">
    <w:name w:val="heading 4"/>
    <w:basedOn w:val="a"/>
    <w:next w:val="a"/>
    <w:link w:val="4Char"/>
    <w:uiPriority w:val="9"/>
    <w:unhideWhenUsed/>
    <w:qFormat/>
    <w:pPr>
      <w:keepNext/>
      <w:keepLines/>
      <w:spacing w:before="280" w:after="290" w:line="376" w:lineRule="auto"/>
      <w:outlineLvl w:val="3"/>
    </w:pPr>
    <w:rPr>
      <w:rFonts w:ascii="Arial" w:eastAsiaTheme="majorEastAsia" w:hAnsi="Arial" w:cstheme="majorBidi"/>
      <w:b/>
      <w:bCs/>
      <w:szCs w:val="28"/>
    </w:rPr>
  </w:style>
  <w:style w:type="paragraph" w:styleId="5">
    <w:name w:val="heading 5"/>
    <w:basedOn w:val="a"/>
    <w:next w:val="a"/>
    <w:link w:val="5Char"/>
    <w:uiPriority w:val="9"/>
    <w:unhideWhenUsed/>
    <w:qFormat/>
    <w:pPr>
      <w:keepNext/>
      <w:keepLines/>
      <w:spacing w:before="280" w:after="290" w:line="376" w:lineRule="auto"/>
      <w:outlineLvl w:val="4"/>
    </w:pPr>
    <w:rPr>
      <w:rFonts w:ascii="Arial" w:hAnsi="Arial"/>
      <w:b/>
      <w:bCs/>
      <w:szCs w:val="28"/>
    </w:rPr>
  </w:style>
  <w:style w:type="paragraph" w:styleId="6">
    <w:name w:val="heading 6"/>
    <w:basedOn w:val="a"/>
    <w:next w:val="a"/>
    <w:link w:val="6Char"/>
    <w:uiPriority w:val="9"/>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unhideWhenUsed/>
    <w:qFormat/>
    <w:pPr>
      <w:keepNext/>
      <w:keepLines/>
      <w:spacing w:before="240" w:after="64" w:line="320" w:lineRule="auto"/>
      <w:outlineLvl w:val="6"/>
    </w:pPr>
    <w:rPr>
      <w:b/>
      <w:bCs/>
      <w:sz w:val="24"/>
      <w:szCs w:val="24"/>
    </w:rPr>
  </w:style>
  <w:style w:type="paragraph" w:styleId="8">
    <w:name w:val="heading 8"/>
    <w:basedOn w:val="a"/>
    <w:next w:val="a"/>
    <w:link w:val="8Char"/>
    <w:uiPriority w:val="9"/>
    <w:unhideWhenUsed/>
    <w:qFormat/>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unhideWhenUsed/>
    <w:qFormat/>
    <w:pPr>
      <w:keepNext/>
      <w:keepLines/>
      <w:spacing w:before="240" w:after="64" w:line="320" w:lineRule="auto"/>
      <w:outlineLvl w:val="8"/>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qFormat/>
    <w:pPr>
      <w:ind w:leftChars="400" w:left="100" w:hangingChars="200" w:hanging="200"/>
      <w:contextualSpacing/>
    </w:pPr>
  </w:style>
  <w:style w:type="paragraph" w:styleId="a3">
    <w:name w:val="annotation text"/>
    <w:basedOn w:val="a"/>
    <w:uiPriority w:val="99"/>
    <w:semiHidden/>
    <w:unhideWhenUsed/>
    <w:qFormat/>
    <w:pPr>
      <w:jc w:val="left"/>
    </w:pPr>
  </w:style>
  <w:style w:type="paragraph" w:styleId="20">
    <w:name w:val="List 2"/>
    <w:basedOn w:val="a"/>
    <w:uiPriority w:val="99"/>
    <w:semiHidden/>
    <w:unhideWhenUsed/>
    <w:qFormat/>
    <w:pPr>
      <w:ind w:leftChars="200" w:left="100" w:hangingChars="200" w:hanging="200"/>
      <w:contextualSpacing/>
    </w:pPr>
  </w:style>
  <w:style w:type="paragraph" w:styleId="a4">
    <w:name w:val="Subtitle"/>
    <w:basedOn w:val="a"/>
    <w:next w:val="a"/>
    <w:link w:val="Char"/>
    <w:uiPriority w:val="11"/>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a5">
    <w:name w:val="List"/>
    <w:basedOn w:val="a"/>
    <w:uiPriority w:val="99"/>
    <w:semiHidden/>
    <w:unhideWhenUsed/>
    <w:qFormat/>
    <w:pPr>
      <w:ind w:left="200" w:hangingChars="200" w:hanging="200"/>
      <w:contextualSpacing/>
    </w:pPr>
  </w:style>
  <w:style w:type="paragraph" w:styleId="a6">
    <w:name w:val="Normal (Web)"/>
    <w:basedOn w:val="a"/>
    <w:uiPriority w:val="99"/>
    <w:qFormat/>
    <w:pPr>
      <w:widowControl/>
      <w:spacing w:before="100" w:beforeAutospacing="1" w:after="100" w:afterAutospacing="1"/>
      <w:jc w:val="left"/>
    </w:pPr>
    <w:rPr>
      <w:rFonts w:eastAsia="Batang" w:cs="Times New Roman"/>
      <w:kern w:val="0"/>
      <w:sz w:val="24"/>
      <w:szCs w:val="24"/>
      <w:lang w:eastAsia="ko-KR"/>
    </w:rPr>
  </w:style>
  <w:style w:type="paragraph" w:styleId="a7">
    <w:name w:val="Title"/>
    <w:basedOn w:val="a"/>
    <w:next w:val="a"/>
    <w:link w:val="Char0"/>
    <w:uiPriority w:val="10"/>
    <w:qFormat/>
    <w:pPr>
      <w:spacing w:before="240" w:after="60"/>
      <w:jc w:val="center"/>
      <w:outlineLvl w:val="0"/>
    </w:pPr>
    <w:rPr>
      <w:rFonts w:ascii="Arial" w:eastAsia="宋体" w:hAnsi="Arial" w:cstheme="majorBidi"/>
      <w:b/>
      <w:bCs/>
      <w:sz w:val="44"/>
      <w:szCs w:val="32"/>
    </w:rPr>
  </w:style>
  <w:style w:type="character" w:styleId="a8">
    <w:name w:val="Strong"/>
    <w:basedOn w:val="a0"/>
    <w:uiPriority w:val="22"/>
    <w:qFormat/>
    <w:rPr>
      <w:b/>
      <w:bCs/>
    </w:rPr>
  </w:style>
  <w:style w:type="character" w:styleId="a9">
    <w:name w:val="FollowedHyperlink"/>
    <w:basedOn w:val="a0"/>
    <w:uiPriority w:val="99"/>
    <w:unhideWhenUsed/>
    <w:qFormat/>
    <w:rPr>
      <w:color w:val="800080" w:themeColor="followedHyperlink"/>
      <w:u w:val="single"/>
    </w:rPr>
  </w:style>
  <w:style w:type="character" w:styleId="aa">
    <w:name w:val="Emphasis"/>
    <w:basedOn w:val="a0"/>
    <w:uiPriority w:val="20"/>
    <w:qFormat/>
    <w:rPr>
      <w:i/>
      <w:iCs/>
    </w:rPr>
  </w:style>
  <w:style w:type="character" w:styleId="ab">
    <w:name w:val="Hyperlink"/>
    <w:basedOn w:val="a0"/>
    <w:uiPriority w:val="99"/>
    <w:unhideWhenUsed/>
    <w:qFormat/>
    <w:rPr>
      <w:color w:val="0000FF" w:themeColor="hyperlink"/>
      <w:u w:val="single"/>
    </w:rPr>
  </w:style>
  <w:style w:type="table" w:styleId="ac">
    <w:name w:val="Table Grid"/>
    <w:basedOn w:val="a1"/>
    <w:uiPriority w:val="59"/>
    <w:qFormat/>
    <w:rPr>
      <w:rFonts w:ascii="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Char">
    <w:name w:val="标题 1 Char"/>
    <w:basedOn w:val="a0"/>
    <w:link w:val="1"/>
    <w:uiPriority w:val="9"/>
    <w:qFormat/>
    <w:rPr>
      <w:rFonts w:ascii="Arial" w:hAnsi="Arial"/>
      <w:b/>
      <w:bCs/>
      <w:kern w:val="44"/>
      <w:sz w:val="32"/>
      <w:szCs w:val="44"/>
    </w:rPr>
  </w:style>
  <w:style w:type="character" w:customStyle="1" w:styleId="2Char">
    <w:name w:val="标题 2 Char"/>
    <w:basedOn w:val="a0"/>
    <w:link w:val="2"/>
    <w:uiPriority w:val="9"/>
    <w:qFormat/>
    <w:rPr>
      <w:rFonts w:ascii="Arial" w:eastAsiaTheme="majorEastAsia" w:hAnsi="Arial" w:cstheme="majorBidi"/>
      <w:b/>
      <w:bCs/>
      <w:sz w:val="28"/>
      <w:szCs w:val="32"/>
    </w:rPr>
  </w:style>
  <w:style w:type="character" w:customStyle="1" w:styleId="3Char">
    <w:name w:val="标题 3 Char"/>
    <w:basedOn w:val="a0"/>
    <w:link w:val="3"/>
    <w:uiPriority w:val="9"/>
    <w:qFormat/>
    <w:rPr>
      <w:rFonts w:ascii="Arial" w:hAnsi="Arial"/>
      <w:b/>
      <w:bCs/>
      <w:sz w:val="24"/>
      <w:szCs w:val="32"/>
    </w:rPr>
  </w:style>
  <w:style w:type="character" w:customStyle="1" w:styleId="4Char">
    <w:name w:val="标题 4 Char"/>
    <w:basedOn w:val="a0"/>
    <w:link w:val="4"/>
    <w:uiPriority w:val="9"/>
    <w:qFormat/>
    <w:rPr>
      <w:rFonts w:ascii="Arial" w:eastAsiaTheme="majorEastAsia" w:hAnsi="Arial" w:cstheme="majorBidi"/>
      <w:b/>
      <w:bCs/>
      <w:szCs w:val="28"/>
    </w:rPr>
  </w:style>
  <w:style w:type="character" w:customStyle="1" w:styleId="5Char">
    <w:name w:val="标题 5 Char"/>
    <w:basedOn w:val="a0"/>
    <w:link w:val="5"/>
    <w:uiPriority w:val="9"/>
    <w:qFormat/>
    <w:rPr>
      <w:rFonts w:ascii="Arial" w:hAnsi="Arial"/>
      <w:b/>
      <w:bCs/>
      <w:szCs w:val="28"/>
    </w:rPr>
  </w:style>
  <w:style w:type="character" w:customStyle="1" w:styleId="6Char">
    <w:name w:val="标题 6 Char"/>
    <w:basedOn w:val="a0"/>
    <w:link w:val="6"/>
    <w:uiPriority w:val="9"/>
    <w:qFormat/>
    <w:rPr>
      <w:rFonts w:asciiTheme="majorHAnsi" w:eastAsiaTheme="majorEastAsia" w:hAnsiTheme="majorHAnsi" w:cstheme="majorBidi"/>
      <w:b/>
      <w:bCs/>
      <w:sz w:val="24"/>
      <w:szCs w:val="24"/>
    </w:rPr>
  </w:style>
  <w:style w:type="character" w:customStyle="1" w:styleId="7Char">
    <w:name w:val="标题 7 Char"/>
    <w:basedOn w:val="a0"/>
    <w:link w:val="7"/>
    <w:uiPriority w:val="9"/>
    <w:qFormat/>
    <w:rPr>
      <w:b/>
      <w:bCs/>
      <w:sz w:val="24"/>
      <w:szCs w:val="24"/>
    </w:rPr>
  </w:style>
  <w:style w:type="character" w:customStyle="1" w:styleId="8Char">
    <w:name w:val="标题 8 Char"/>
    <w:basedOn w:val="a0"/>
    <w:link w:val="8"/>
    <w:uiPriority w:val="9"/>
    <w:qFormat/>
    <w:rPr>
      <w:rFonts w:asciiTheme="majorHAnsi" w:eastAsiaTheme="majorEastAsia" w:hAnsiTheme="majorHAnsi" w:cstheme="majorBidi"/>
      <w:sz w:val="24"/>
      <w:szCs w:val="24"/>
    </w:rPr>
  </w:style>
  <w:style w:type="character" w:customStyle="1" w:styleId="9Char">
    <w:name w:val="标题 9 Char"/>
    <w:basedOn w:val="a0"/>
    <w:link w:val="9"/>
    <w:uiPriority w:val="9"/>
    <w:qFormat/>
    <w:rPr>
      <w:rFonts w:asciiTheme="majorHAnsi" w:eastAsiaTheme="majorEastAsia" w:hAnsiTheme="majorHAnsi" w:cstheme="majorBidi"/>
      <w:szCs w:val="21"/>
    </w:rPr>
  </w:style>
  <w:style w:type="character" w:customStyle="1" w:styleId="Char0">
    <w:name w:val="标题 Char"/>
    <w:basedOn w:val="a0"/>
    <w:link w:val="a7"/>
    <w:uiPriority w:val="10"/>
    <w:qFormat/>
    <w:rPr>
      <w:rFonts w:ascii="Arial" w:eastAsia="宋体" w:hAnsi="Arial" w:cstheme="majorBidi"/>
      <w:b/>
      <w:bCs/>
      <w:sz w:val="44"/>
      <w:szCs w:val="32"/>
    </w:rPr>
  </w:style>
  <w:style w:type="character" w:customStyle="1" w:styleId="Char">
    <w:name w:val="副标题 Char"/>
    <w:basedOn w:val="a0"/>
    <w:link w:val="a4"/>
    <w:uiPriority w:val="11"/>
    <w:qFormat/>
    <w:rPr>
      <w:rFonts w:asciiTheme="majorHAnsi" w:eastAsia="宋体" w:hAnsiTheme="majorHAnsi" w:cstheme="majorBidi"/>
      <w:b/>
      <w:bCs/>
      <w:kern w:val="28"/>
      <w:sz w:val="32"/>
      <w:szCs w:val="32"/>
    </w:rPr>
  </w:style>
  <w:style w:type="character" w:customStyle="1" w:styleId="10">
    <w:name w:val="不明显强调1"/>
    <w:basedOn w:val="a0"/>
    <w:uiPriority w:val="19"/>
    <w:qFormat/>
    <w:rPr>
      <w:i/>
      <w:iCs/>
      <w:color w:val="7F7F7F" w:themeColor="text1" w:themeTint="80"/>
    </w:rPr>
  </w:style>
  <w:style w:type="character" w:customStyle="1" w:styleId="11">
    <w:name w:val="明显强调1"/>
    <w:basedOn w:val="a0"/>
    <w:uiPriority w:val="21"/>
    <w:qFormat/>
    <w:rPr>
      <w:b/>
      <w:bCs/>
      <w:i/>
      <w:iCs/>
      <w:color w:val="4F81BD" w:themeColor="accent1"/>
    </w:rPr>
  </w:style>
  <w:style w:type="paragraph" w:styleId="ad">
    <w:name w:val="Quote"/>
    <w:basedOn w:val="a"/>
    <w:next w:val="a"/>
    <w:link w:val="Char1"/>
    <w:uiPriority w:val="29"/>
    <w:qFormat/>
    <w:rPr>
      <w:i/>
      <w:iCs/>
      <w:color w:val="000000" w:themeColor="text1"/>
    </w:rPr>
  </w:style>
  <w:style w:type="character" w:customStyle="1" w:styleId="Char1">
    <w:name w:val="引用 Char"/>
    <w:basedOn w:val="a0"/>
    <w:link w:val="ad"/>
    <w:uiPriority w:val="29"/>
    <w:qFormat/>
    <w:rPr>
      <w:i/>
      <w:iCs/>
      <w:color w:val="000000" w:themeColor="text1"/>
    </w:rPr>
  </w:style>
  <w:style w:type="paragraph" w:styleId="ae">
    <w:name w:val="Intense Quote"/>
    <w:basedOn w:val="a"/>
    <w:next w:val="a"/>
    <w:link w:val="Char2"/>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Char2">
    <w:name w:val="明显引用 Char"/>
    <w:basedOn w:val="a0"/>
    <w:link w:val="ae"/>
    <w:uiPriority w:val="30"/>
    <w:qFormat/>
    <w:rPr>
      <w:b/>
      <w:bCs/>
      <w:i/>
      <w:iCs/>
      <w:color w:val="4F81BD" w:themeColor="accent1"/>
    </w:rPr>
  </w:style>
  <w:style w:type="character" w:customStyle="1" w:styleId="12">
    <w:name w:val="不明显参考1"/>
    <w:basedOn w:val="a0"/>
    <w:uiPriority w:val="31"/>
    <w:qFormat/>
    <w:rPr>
      <w:smallCaps/>
      <w:color w:val="C0504D" w:themeColor="accent2"/>
      <w:u w:val="single"/>
    </w:rPr>
  </w:style>
  <w:style w:type="character" w:customStyle="1" w:styleId="13">
    <w:name w:val="明显参考1"/>
    <w:basedOn w:val="a0"/>
    <w:uiPriority w:val="32"/>
    <w:qFormat/>
    <w:rPr>
      <w:b/>
      <w:bCs/>
      <w:smallCaps/>
      <w:color w:val="C0504D" w:themeColor="accent2"/>
      <w:spacing w:val="5"/>
      <w:u w:val="single"/>
    </w:rPr>
  </w:style>
  <w:style w:type="character" w:customStyle="1" w:styleId="14">
    <w:name w:val="书籍标题1"/>
    <w:basedOn w:val="a0"/>
    <w:uiPriority w:val="33"/>
    <w:qFormat/>
    <w:rPr>
      <w:b/>
      <w:bCs/>
      <w:smallCaps/>
      <w:spacing w:val="5"/>
    </w:rPr>
  </w:style>
  <w:style w:type="paragraph" w:styleId="af">
    <w:name w:val="List Paragraph"/>
    <w:basedOn w:val="a"/>
    <w:link w:val="Char3"/>
    <w:uiPriority w:val="34"/>
    <w:qFormat/>
    <w:pPr>
      <w:ind w:firstLineChars="200" w:firstLine="420"/>
    </w:pPr>
  </w:style>
  <w:style w:type="character" w:customStyle="1" w:styleId="Char3">
    <w:name w:val="列出段落 Char"/>
    <w:link w:val="af"/>
    <w:uiPriority w:val="34"/>
    <w:qFormat/>
    <w:locked/>
    <w:rPr>
      <w:rFonts w:ascii="Times New Roman" w:hAnsi="Times New Roman"/>
    </w:rPr>
  </w:style>
  <w:style w:type="paragraph" w:customStyle="1" w:styleId="B1">
    <w:name w:val="B1"/>
    <w:basedOn w:val="a5"/>
    <w:link w:val="B1Char1"/>
    <w:qFormat/>
    <w:pPr>
      <w:widowControl/>
      <w:spacing w:after="180"/>
      <w:ind w:left="568" w:firstLineChars="0" w:hanging="284"/>
      <w:contextualSpacing w:val="0"/>
      <w:jc w:val="left"/>
    </w:pPr>
    <w:rPr>
      <w:rFonts w:cs="Times New Roman"/>
      <w:kern w:val="0"/>
      <w:sz w:val="20"/>
      <w:szCs w:val="20"/>
      <w:lang w:val="en-GB" w:eastAsia="en-US"/>
    </w:rPr>
  </w:style>
  <w:style w:type="paragraph" w:customStyle="1" w:styleId="B2">
    <w:name w:val="B2"/>
    <w:basedOn w:val="20"/>
    <w:link w:val="B2Char"/>
    <w:qFormat/>
    <w:pPr>
      <w:widowControl/>
      <w:spacing w:after="180"/>
      <w:ind w:leftChars="0" w:left="851" w:firstLineChars="0" w:hanging="284"/>
      <w:contextualSpacing w:val="0"/>
      <w:jc w:val="left"/>
    </w:pPr>
    <w:rPr>
      <w:rFonts w:cs="Times New Roman"/>
      <w:kern w:val="0"/>
      <w:sz w:val="20"/>
      <w:szCs w:val="20"/>
      <w:lang w:val="en-GB" w:eastAsia="en-US"/>
    </w:rPr>
  </w:style>
  <w:style w:type="paragraph" w:customStyle="1" w:styleId="B3">
    <w:name w:val="B3"/>
    <w:basedOn w:val="30"/>
    <w:link w:val="B3Char"/>
    <w:qFormat/>
    <w:pPr>
      <w:widowControl/>
      <w:spacing w:after="180"/>
      <w:ind w:leftChars="0" w:left="1135" w:firstLineChars="0" w:hanging="284"/>
      <w:contextualSpacing w:val="0"/>
      <w:jc w:val="left"/>
    </w:pPr>
    <w:rPr>
      <w:rFonts w:cs="Times New Roman"/>
      <w:kern w:val="0"/>
      <w:sz w:val="20"/>
      <w:szCs w:val="20"/>
      <w:lang w:val="en-GB" w:eastAsia="en-US"/>
    </w:rPr>
  </w:style>
  <w:style w:type="character" w:customStyle="1" w:styleId="B1Char1">
    <w:name w:val="B1 Char1"/>
    <w:link w:val="B1"/>
    <w:qFormat/>
    <w:rPr>
      <w:rFonts w:ascii="Times New Roman" w:hAnsi="Times New Roman" w:cs="Times New Roman"/>
      <w:kern w:val="0"/>
      <w:sz w:val="20"/>
      <w:szCs w:val="20"/>
      <w:lang w:val="en-GB" w:eastAsia="en-US"/>
    </w:rPr>
  </w:style>
  <w:style w:type="character" w:customStyle="1" w:styleId="B3Char">
    <w:name w:val="B3 Char"/>
    <w:link w:val="B3"/>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styleId="af0">
    <w:name w:val="annotation reference"/>
    <w:basedOn w:val="a0"/>
    <w:uiPriority w:val="99"/>
    <w:semiHidden/>
    <w:unhideWhenUsed/>
    <w:rPr>
      <w:sz w:val="21"/>
      <w:szCs w:val="21"/>
    </w:rPr>
  </w:style>
  <w:style w:type="paragraph" w:styleId="af1">
    <w:name w:val="Balloon Text"/>
    <w:basedOn w:val="a"/>
    <w:link w:val="Char4"/>
    <w:uiPriority w:val="99"/>
    <w:semiHidden/>
    <w:unhideWhenUsed/>
    <w:rsid w:val="00CE01CD"/>
    <w:rPr>
      <w:sz w:val="18"/>
      <w:szCs w:val="18"/>
    </w:rPr>
  </w:style>
  <w:style w:type="character" w:customStyle="1" w:styleId="Char4">
    <w:name w:val="批注框文本 Char"/>
    <w:basedOn w:val="a0"/>
    <w:link w:val="af1"/>
    <w:uiPriority w:val="99"/>
    <w:semiHidden/>
    <w:rsid w:val="00CE01CD"/>
    <w:rPr>
      <w:rFonts w:ascii="Times New Roman"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9.wmf"/><Relationship Id="rId42" Type="http://schemas.openxmlformats.org/officeDocument/2006/relationships/oleObject" Target="embeddings/oleObject18.bin"/><Relationship Id="rId47" Type="http://schemas.openxmlformats.org/officeDocument/2006/relationships/image" Target="media/image22.wmf"/><Relationship Id="rId63" Type="http://schemas.openxmlformats.org/officeDocument/2006/relationships/image" Target="media/image28.wmf"/><Relationship Id="rId68" Type="http://schemas.openxmlformats.org/officeDocument/2006/relationships/oleObject" Target="embeddings/oleObject34.bin"/><Relationship Id="rId16" Type="http://schemas.openxmlformats.org/officeDocument/2006/relationships/oleObject" Target="embeddings/oleObject5.bin"/><Relationship Id="rId11" Type="http://schemas.openxmlformats.org/officeDocument/2006/relationships/image" Target="media/image4.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7.wmf"/><Relationship Id="rId40" Type="http://schemas.openxmlformats.org/officeDocument/2006/relationships/oleObject" Target="embeddings/oleObject17.bin"/><Relationship Id="rId45" Type="http://schemas.openxmlformats.org/officeDocument/2006/relationships/image" Target="media/image21.wmf"/><Relationship Id="rId53" Type="http://schemas.openxmlformats.org/officeDocument/2006/relationships/image" Target="media/image24.wmf"/><Relationship Id="rId58" Type="http://schemas.openxmlformats.org/officeDocument/2006/relationships/oleObject" Target="embeddings/oleObject28.bin"/><Relationship Id="rId66" Type="http://schemas.openxmlformats.org/officeDocument/2006/relationships/oleObject" Target="embeddings/oleObject32.bin"/><Relationship Id="rId74" Type="http://schemas.openxmlformats.org/officeDocument/2006/relationships/image" Target="media/image31.wmf"/><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27.wmf"/><Relationship Id="rId19" Type="http://schemas.openxmlformats.org/officeDocument/2006/relationships/image" Target="media/image8.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2.wmf"/><Relationship Id="rId30" Type="http://schemas.openxmlformats.org/officeDocument/2006/relationships/oleObject" Target="embeddings/oleObject12.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1.bin"/><Relationship Id="rId56" Type="http://schemas.openxmlformats.org/officeDocument/2006/relationships/oleObject" Target="embeddings/oleObject27.bin"/><Relationship Id="rId64" Type="http://schemas.openxmlformats.org/officeDocument/2006/relationships/oleObject" Target="embeddings/oleObject31.bin"/><Relationship Id="rId69" Type="http://schemas.openxmlformats.org/officeDocument/2006/relationships/image" Target="media/image30.wmf"/><Relationship Id="rId77" Type="http://schemas.openxmlformats.org/officeDocument/2006/relationships/oleObject" Target="embeddings/oleObject41.bin"/><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7.bin"/><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6.wmf"/><Relationship Id="rId67" Type="http://schemas.openxmlformats.org/officeDocument/2006/relationships/oleObject" Target="embeddings/oleObject33.bin"/><Relationship Id="rId20" Type="http://schemas.openxmlformats.org/officeDocument/2006/relationships/oleObject" Target="embeddings/oleObject7.bin"/><Relationship Id="rId41" Type="http://schemas.openxmlformats.org/officeDocument/2006/relationships/image" Target="media/image19.wmf"/><Relationship Id="rId54" Type="http://schemas.openxmlformats.org/officeDocument/2006/relationships/oleObject" Target="embeddings/oleObject25.bin"/><Relationship Id="rId62" Type="http://schemas.openxmlformats.org/officeDocument/2006/relationships/oleObject" Target="embeddings/oleObject30.bin"/><Relationship Id="rId70" Type="http://schemas.openxmlformats.org/officeDocument/2006/relationships/oleObject" Target="embeddings/oleObject35.bin"/><Relationship Id="rId75" Type="http://schemas.openxmlformats.org/officeDocument/2006/relationships/oleObject" Target="embeddings/oleObject39.bin"/><Relationship Id="rId1" Type="http://schemas.openxmlformats.org/officeDocument/2006/relationships/customXml" Target="../customXml/item1.xml"/><Relationship Id="rId6" Type="http://schemas.openxmlformats.org/officeDocument/2006/relationships/image" Target="media/image1.png"/><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image" Target="media/image25.wmf"/><Relationship Id="rId10" Type="http://schemas.openxmlformats.org/officeDocument/2006/relationships/oleObject" Target="embeddings/oleObject2.bin"/><Relationship Id="rId31" Type="http://schemas.openxmlformats.org/officeDocument/2006/relationships/image" Target="media/image14.wmf"/><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oleObject" Target="embeddings/oleObject29.bin"/><Relationship Id="rId65" Type="http://schemas.openxmlformats.org/officeDocument/2006/relationships/image" Target="media/image29.wmf"/><Relationship Id="rId73" Type="http://schemas.openxmlformats.org/officeDocument/2006/relationships/oleObject" Target="embeddings/oleObject38.bin"/><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6.bin"/><Relationship Id="rId39" Type="http://schemas.openxmlformats.org/officeDocument/2006/relationships/image" Target="media/image18.wmf"/><Relationship Id="rId34" Type="http://schemas.openxmlformats.org/officeDocument/2006/relationships/oleObject" Target="embeddings/oleObject14.bin"/><Relationship Id="rId50" Type="http://schemas.openxmlformats.org/officeDocument/2006/relationships/oleObject" Target="embeddings/oleObject23.bin"/><Relationship Id="rId55" Type="http://schemas.openxmlformats.org/officeDocument/2006/relationships/oleObject" Target="embeddings/oleObject26.bin"/><Relationship Id="rId76" Type="http://schemas.openxmlformats.org/officeDocument/2006/relationships/oleObject" Target="embeddings/oleObject40.bin"/><Relationship Id="rId7" Type="http://schemas.openxmlformats.org/officeDocument/2006/relationships/image" Target="media/image2.wmf"/><Relationship Id="rId71" Type="http://schemas.openxmlformats.org/officeDocument/2006/relationships/oleObject" Target="embeddings/oleObject36.bin"/><Relationship Id="rId2" Type="http://schemas.openxmlformats.org/officeDocument/2006/relationships/numbering" Target="numbering.xml"/><Relationship Id="rId29" Type="http://schemas.openxmlformats.org/officeDocument/2006/relationships/image" Target="media/image1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2052\Word%202010%20loo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Word 2010 look</Template>
  <TotalTime>0</TotalTime>
  <Pages>10</Pages>
  <Words>3387</Words>
  <Characters>19307</Characters>
  <Application>Microsoft Office Word</Application>
  <DocSecurity>0</DocSecurity>
  <Lines>160</Lines>
  <Paragraphs>45</Paragraphs>
  <ScaleCrop>false</ScaleCrop>
  <Company/>
  <LinksUpToDate>false</LinksUpToDate>
  <CharactersWithSpaces>22649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张峻峰10005275</dc:creator>
  <cp:lastModifiedBy>张峻峰10005275</cp:lastModifiedBy>
  <cp:revision>2</cp:revision>
  <dcterms:created xsi:type="dcterms:W3CDTF">2019-03-29T09:28:00Z</dcterms:created>
  <dcterms:modified xsi:type="dcterms:W3CDTF">2019-03-29T09:28:00Z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